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GGAL</w:t>
      </w:r>
      <w:r>
        <w:rPr>
          <w:rFonts w:ascii="Calibri" w:hAnsi="Calibri"/>
          <w:b/>
          <w:color w:val="1A2010"/>
          <w:sz w:val="40"/>
        </w:rPr>
        <w:t xml:space="preserve">  Grupo Financiero Galicia S.A.</w:t>
      </w:r>
    </w:p>
    <w:p>
      <w:pPr>
        <w:spacing w:after="120"/>
      </w:pPr>
      <w:r>
        <w:rPr>
          <w:rFonts w:ascii="Calibri" w:hAnsi="Calibri"/>
          <w:b/>
          <w:color w:val="6E8450"/>
          <w:sz w:val="18"/>
        </w:rPr>
        <w:t>GROWTH SLEEVE · 2026-08-06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Argentina</w:t>
      </w:r>
    </w:p>
    <w:p>
      <w:pPr>
        <w:spacing w:after="80"/>
      </w:pPr>
      <w:r>
        <w:rPr>
          <w:rFonts w:ascii="Calibri" w:hAnsi="Calibri"/>
          <w:b w:val="0"/>
          <w:color w:val="3A4A28"/>
          <w:sz w:val="20"/>
        </w:rPr>
        <w:t>Grupo Financiero Galicia S.A. is a leading Argentine financial services holding company operating primarily through its subsidiary Banco de Galicia y Buenos Aires S.A.U., one of Argentina's largest private-sector banks. The group provides commercial and retail banking, insurance (Galicia Seguros), asset management, and digital financial services. Founded in 1905, headquartered in Buenos Aires. The 2024-2025 acquisition of HSBC Argentina roughly doubled the bank's scale.</w:t>
      </w:r>
    </w:p>
    <w:p>
      <w:r>
        <w:rPr>
          <w:rFonts w:ascii="Calibri" w:hAnsi="Calibri"/>
          <w:b/>
          <w:color w:val="6E8450"/>
          <w:sz w:val="18"/>
        </w:rPr>
        <w:t>12,000 Employees · https://www.gfgsa.com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acquisition of HSBC Argentina in 2024-2025 was a transformative deal that approximately doubled Grupo Galicia's scale, integrating a major international bank's Argentine operations into the domestic franchise — one of the largest banking M&amp;A transactions in Argentine history [1][2]. Digital banking app improvements and branch network expansion show continued modernization. AI Deployment (0/2): No evidence of AI-powered products or quantified AI-driven efficiency gains; Argentine banking lags global peers in AI adoption, and neither earnings calls nor press releases reference AI deployment [2]. Market Share (2/2): Following the HSBC acquisition, Banco Galicia is now among the top three private-sector banks in Argentina with a dominant retail presence and extensive branch network across the country [1][2]. Product Pipeline (0/2): Management targets 25% loan growth and ROE of 10-11% in 2026, but no next-generation digital products or category-defining innovations are announced with specific timelines [1]. R&amp;D Intensity (0/1): No separately reported R&amp;D spending; technology investment is embedded within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Grupo Financiero Galicia's corporate messaging emphasizes financial inclusion and serving Argentine communities, which is clear and relevant but not distinctive — it could describe any large Latin American bank [3]. The 120+ year history of Banco Galicia anchoring Argentine communities adds some depth, but no transformative purpose statement was identified. Community Impact (0/2): No specific charitable programs, foundation, or community investment with dollar amounts were identified in the search results, though the bank's sustainability subcommittee and ESG framework suggest general corporate responsibility [3]. Employee Retention (0/2): No specific employee retention data, tenure figures, or cultural metrics were found; the recent CEO transition at Banco Galicia (Diego Rivas replacing prior leadership) adds uncertainty [2]. Insider Buying (0/2): No evidence of insider buying by executives in the last 12 months on the ADR listing.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GGAL operates in Argentina's hyperinflationary environment (211% YoY CPI in March 2026), making conventional financial metrics misleading [1]. Revenue of $11.85B for the twelve months ending March 2026 reflects 227% YoY growth, but this is largely driven by inflation accounting (IAS 29) and the HSBC Argentina acquisition rather than real organic growth [1]. Q1 2026 net income of ARS 66.5B was down 66% YoY in real terms as asset quality deteriorated with NPLs rising to 7.7% [1]. ROE of 2.49% (TTM) is well below the 15% target, though management guides to 10-11% for full-year 2026 [1]. P/E of approximately 41x is elevated for a bank, reflecting market optimism about Argentina's macroeconomic reform trajectory under President Milei. Profit margin of 3.09% is near-floor. The Argentine peso's devaluation and ongoing monetary policy uncertainty create significant currency translation risk for ADR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Grupo Financiero Galicia benefits from a 120+ year institutional history that anchors its infinite game credentials — Banco Galicia has endured multiple Argentine financial crises (2001 sovereign default, 2018 currency crisis, COVID, and the current hyperinflation), demonstrating remarkable survival resilience. The courageous HSBC Argentina acquisition during a period of extreme macroeconomic volatility shows willingness to invest through adversity. However, the company lacks an articulated Just Cause beyond generic financial services, and operates in an environment where quarterly survival often trumps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Grupo Galicia's 120+ year history of serving Argentine communities represents institutional persistence, but no distinctive Just Cause is articulated — the corporate messaging about financial services and community banking is interchangeable with any large regional bank [3]. Leadership does not reference a higher purpose in strategic decisions; the HSBC acquisition was presented as a scale and market share opportunity, not a cause-driven initiative.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Banco Galicia is a well-established Argentine institution with a professional culture and long-tenured employee base, as indicated by its consistent operation through multiple national crises [2][3]. The recent CEO transition at Banco Galicia (Diego Rivas appointed October 2025) was an orderly succession approved by the Argentine Central Bank. However, the HSBC Argentina integration creates cultural integration challenges, and no specific employee satisfaction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Grupo Galicia's competitive positioning focuses on market share gains through the HSBC acquisition and defending its position against fintech disruptors like Mercado Pago — a defensive, finite-game approach to competition rather than a learning orientation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Grupo Galicia has evolved from a single-bank holding company to a diversified financial group including insurance (Galicia Seguros), asset management, and now the HSBC Argentina integration [2]. The company has adapted through multiple Argentine economic regime changes, currency devaluations, and banking crises. However, the core business model of traditional Argentine banking has not fundamentally changed — the adaptations have been incremental responses to environmental pressures rather than purpose-driven reinventions.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HSBC Argentina acquisition during a period of 211% annual inflation, currency instability, and political uncertainty is a textbook example of courageous long-term investment — management bet on Argentina's reform trajectory under President Milei, doubling the bank's size when most international banks (including HSBC itself) were exiting [1][2]. This required sacrificing near-term profitability (Q1 2026 net income down 66% due to integration costs and NPL normalization) for long-term market positioning. The company has repeatedly invested through Argentine crises rather than retreating.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Grupo Financiero Galicia is a leveraged bet on Argentina's macroeconomic reform trajectory under President Milei. The transformative HSBC Argentina acquisition doubled the bank's scale, creating one of the country's top three private-sector banking franchises with an extensive branch and digital network [1][2]. Revenue of $11.85B (TTM March 2026) grew 227% YoY, and management targets 25% loan growth and 10-11% ROE for 2026 with sequential improvement through the year [1]. The ADR at ~$54 prices in optimism about Argentina's inflation reduction and economic stabilization, with an ESG score of A- reflecting strong governance standards relative to emerging-market peers [3].</w:t>
      </w:r>
    </w:p>
    <w:p>
      <w:pPr>
        <w:spacing w:after="120"/>
      </w:pPr>
      <w:r>
        <w:rPr>
          <w:rFonts w:ascii="Calibri" w:hAnsi="Calibri"/>
          <w:b w:val="0"/>
          <w:color w:val="3A4A28"/>
          <w:sz w:val="20"/>
        </w:rPr>
        <w:t>The bear case is dominated by Argentine country risk: 211% YoY inflation as of March 2026, peso devaluation, and an uncertain reform timeline create massive currency translation risk for ADR holders [1]. Q1 2026 net income dropped 66% YoY as NPLs rose to 7.7%, signaling that HSBC Argentina's loan book may contain credit quality challenges that take multiple quarters to digest. ROE of 2.49% (TTM) is destructive of shareholder value at current levels, though management guides to 10-11% by year-end. At a P/E of ~41x, the stock is priced for a best-case macro scenario — any setback in Argentina's reform agenda, currency controls re-imposition, or sovereign credit deterioration could trigger severe multiple compression. Fintech competition from Mercado Pago and digital wallets is also eroding traditional banking revenue pools in Argentina's younger demographics.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Argentina's inflation declining toward double-digit levels by H2 2026, enabling real credit growth and ROE normalization toward management's 10-11% target as HSBC integration synergies materialize</w:t>
      </w:r>
    </w:p>
    <w:p>
      <w:pPr>
        <w:spacing w:before="40" w:after="40"/>
        <w:ind w:left="283"/>
      </w:pPr>
      <w:r>
        <w:rPr>
          <w:rFonts w:ascii="Calibri" w:hAnsi="Calibri"/>
          <w:b/>
          <w:color w:val="4A6B25"/>
          <w:sz w:val="20"/>
        </w:rPr>
        <w:t xml:space="preserve">2. </w:t>
      </w:r>
      <w:r>
        <w:rPr>
          <w:rFonts w:ascii="Calibri" w:hAnsi="Calibri"/>
          <w:b w:val="0"/>
          <w:color w:val="3A4A28"/>
          <w:sz w:val="20"/>
        </w:rPr>
        <w:t>Successful HSBC Argentina loan book integration with NPLs declining from 7.7% toward the 5% pre-acquisition level, unlocking substantial reserve release and net income recovery</w:t>
      </w:r>
    </w:p>
    <w:p>
      <w:pPr>
        <w:spacing w:before="40" w:after="40"/>
        <w:ind w:left="283"/>
      </w:pPr>
      <w:r>
        <w:rPr>
          <w:rFonts w:ascii="Calibri" w:hAnsi="Calibri"/>
          <w:b/>
          <w:color w:val="4A6B25"/>
          <w:sz w:val="20"/>
        </w:rPr>
        <w:t xml:space="preserve">3. </w:t>
      </w:r>
      <w:r>
        <w:rPr>
          <w:rFonts w:ascii="Calibri" w:hAnsi="Calibri"/>
          <w:b w:val="0"/>
          <w:color w:val="3A4A28"/>
          <w:sz w:val="20"/>
        </w:rPr>
        <w:t>Potential Argentine sovereign credit upgrade following successful IMF program completion, which would compress GGAL's country risk premium and expand the ADR's valuation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macroeconomic deterioration — any reversal of the Milei reform agenda, capital control re-imposition, or peso crisis would devastate GGAL's ADR valuation through both earnings compression and currency translation losses</w:t>
      </w:r>
    </w:p>
    <w:p>
      <w:pPr>
        <w:spacing w:before="40" w:after="40"/>
        <w:ind w:left="283"/>
      </w:pPr>
      <w:r>
        <w:rPr>
          <w:rFonts w:ascii="Calibri" w:hAnsi="Calibri"/>
          <w:b/>
          <w:color w:val="4A6B25"/>
          <w:sz w:val="20"/>
        </w:rPr>
        <w:t xml:space="preserve">2. </w:t>
      </w:r>
      <w:r>
        <w:rPr>
          <w:rFonts w:ascii="Calibri" w:hAnsi="Calibri"/>
          <w:b w:val="0"/>
          <w:color w:val="3A4A28"/>
          <w:sz w:val="20"/>
        </w:rPr>
        <w:t>HSBC Argentina integration execution risk with NPLs already at 7.7% and Q1 net income down 66% — the acquired loan book may contain embedded credit losses that require multi-quarter provisioning</w:t>
      </w:r>
    </w:p>
    <w:p>
      <w:pPr>
        <w:spacing w:before="40" w:after="40"/>
        <w:ind w:left="283"/>
      </w:pPr>
      <w:r>
        <w:rPr>
          <w:rFonts w:ascii="Calibri" w:hAnsi="Calibri"/>
          <w:b/>
          <w:color w:val="4A6B25"/>
          <w:sz w:val="20"/>
        </w:rPr>
        <w:t xml:space="preserve">3. </w:t>
      </w:r>
      <w:r>
        <w:rPr>
          <w:rFonts w:ascii="Calibri" w:hAnsi="Calibri"/>
          <w:b w:val="0"/>
          <w:color w:val="3A4A28"/>
          <w:sz w:val="20"/>
        </w:rPr>
        <w:t>Fintech disruption from Mercado Pago, Uala, and digital wallets capturing deposit and payment market share from traditional banks, particularly among younger Argentine demographics who are digital-native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Argentine banking is a regulated, physical-world business with significant structural protection from AI disruption — central bank regulations, capital controls, KYC/AML requirements, and the complex hyperinflationary operating environment create barriers that AI cannot easily navigate [1]. Banco Galicia's extensive branch network serves customers who require in-person banking for peso/dollar transactions and regulatory compliance. However, Argentine fintech competitors — particularly Mercado Libre's Mercado Pago, Uala, and other digital wallets — are aggressively taking deposit and payment share from traditional banks, especially among younger demographics [2]. This fintech competition represents a meaningful AI-adjacent disruption vector. AI Opportunity (0/1): No evidence of AI-generated revenue; Grupo Galicia has not deployed AI-powered products or reported AI-driven cost savings in any public filing or earnings commentary.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Grupo Financiero Galicia Q1 2026 Earnings Release and Management Guidance — Yahoo Finance, Quartr, May 2026</w:t>
      </w:r>
    </w:p>
    <w:p>
      <w:pPr>
        <w:spacing w:before="20" w:after="20"/>
        <w:ind w:left="170"/>
      </w:pPr>
      <w:r>
        <w:rPr>
          <w:rFonts w:ascii="Calibri" w:hAnsi="Calibri"/>
          <w:b/>
          <w:color w:val="4A6B25"/>
          <w:sz w:val="15"/>
        </w:rPr>
        <w:t xml:space="preserve">2. </w:t>
      </w:r>
      <w:r>
        <w:rPr>
          <w:rFonts w:ascii="Calibri" w:hAnsi="Calibri"/>
          <w:b w:val="0"/>
          <w:color w:val="3A4A28"/>
          <w:sz w:val="17"/>
        </w:rPr>
        <w:t>Grupo Financiero Galicia Leadership Changes and HSBC Acquisition Updates — TipRanks, The Globe and Mail, 2025-2026</w:t>
      </w:r>
    </w:p>
    <w:p>
      <w:pPr>
        <w:spacing w:before="20" w:after="20"/>
        <w:ind w:left="170"/>
      </w:pPr>
      <w:r>
        <w:rPr>
          <w:rFonts w:ascii="Calibri" w:hAnsi="Calibri"/>
          <w:b/>
          <w:color w:val="4A6B25"/>
          <w:sz w:val="15"/>
        </w:rPr>
        <w:t xml:space="preserve">3. </w:t>
      </w:r>
      <w:r>
        <w:rPr>
          <w:rFonts w:ascii="Calibri" w:hAnsi="Calibri"/>
          <w:b w:val="0"/>
          <w:color w:val="3A4A28"/>
          <w:sz w:val="17"/>
        </w:rPr>
        <w:t>Grupo Financiero Galicia ESG and Corporate Governance — Refinitiv ESG Report, Sustainalytics, GFG Corporate Website</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MacroTrends — GGAL Statistics, Valuation, and Historical Financials,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GGAL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