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GITS</w:t>
      </w:r>
      <w:r>
        <w:rPr>
          <w:rFonts w:ascii="Calibri" w:hAnsi="Calibri"/>
          <w:b/>
          <w:color w:val="1A2010"/>
          <w:sz w:val="40"/>
        </w:rPr>
        <w:t xml:space="preserve">  Global Interactive Technologies, Inc.</w:t>
      </w:r>
    </w:p>
    <w:p>
      <w:pPr>
        <w:spacing w:after="120"/>
      </w:pPr>
      <w:r>
        <w:rPr>
          <w:rFonts w:ascii="Calibri" w:hAnsi="Calibri"/>
          <w:b/>
          <w:color w:val="6E8450"/>
          <w:sz w:val="18"/>
        </w:rPr>
        <w:t>GROWTH SLEEVE · 2026-07-12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Interactive Media &amp; Services · NASDAQ · South Korea</w:t>
      </w:r>
    </w:p>
    <w:p>
      <w:pPr>
        <w:spacing w:after="80"/>
      </w:pPr>
      <w:r>
        <w:rPr>
          <w:rFonts w:ascii="Calibri" w:hAnsi="Calibri"/>
          <w:b w:val="0"/>
          <w:color w:val="3A4A28"/>
          <w:sz w:val="20"/>
        </w:rPr>
        <w:t>Global Interactive Technologies, Inc. (formerly Hanryu Holdings) operates as a technology-driven platform company in South Korea. The company develops and operates Faning, a digital fan engagement platform for K-pop and modern Korean culture communities, and Koreavibe.net, a digital media property providing K-culture content. Founded in 2021, headquartered in Seoul. Market cap approximately $5.5M.</w:t>
      </w:r>
    </w:p>
    <w:p>
      <w:r>
        <w:rPr>
          <w:rFonts w:ascii="Calibri" w:hAnsi="Calibri"/>
          <w:b/>
          <w:color w:val="6E8450"/>
          <w:sz w:val="18"/>
        </w:rPr>
        <w:t>15 Employees · https://www.globalinteractive.tech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successful product launches or market pivots in the last five years. The Faning fan engagement platform generates effectively zero revenue — trailing twelve months revenue is $2K [1]. The December 2024 rebrand from Hanryu Holdings to Global Interactive Technologies and a partnership with K-pop star Kang Daniel represent marketing activity, not product innovation [4]. AI Deployment (0/2): No AI-powered products shipping and no AI-driven efficiency gains reported in any public filing [3]. Market Share (0/2): No meaningful market share in any category; the company is a sub-$10M market cap micro-cap with negligible user engagement metrics on the Faning platform [1][5]. Product Pipeline (0/2): The Faning platform exists but has failed to generate revenue; the Hudson Global Ventures $18M equity facility provides capital access but no product pipeline visibility [4]. R&amp;D Intensity (0/1): No evidence of R&amp;D spending or technology development investment in public filings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purpose of connecting global K-culture fandom communities through interactive digital platforms is identifiable but generic — interchangeable with any social media startup targeting a niche audience [1]. No evidence the mission shapes strategic decisions beyond basic platform operations. Community Impact (0/2): No charitable programs, foundation, or community investment found in any public filings or communications [3]. Employee Retention (0/2): CEO compensation of $58.6K annually (100% salary, 0% equity) and average board tenure of just 2.8 years provide no evidence of mission-driven retention [1]. Insider Buying (0/2): No insider buying activity identified. CEO Taehoon Kim's zero equity compensation suggests minimal alignment between management and shareholder interests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All infrastructure metrics fail to reach scoring thresholds. The company reported revenue of $96 in Q1 2026 with a net loss of $497K, an accumulated deficit of $43M, and management explicitly disclosed 'substantial doubt about its ability to continue as a going concern' [3]. Working capital deficiency of $1.13M eliminates any meaningful financial durability assessment. While the liquidity floor is technically met (avg daily volume ~964K shares x $2.17 = $2.1M), every financial metric floors at zero: no meaningful revenue to calculate margins, negative equity rendering ROE and D/E incalculable, and no earnings to produce a P/E ratio [1][5]. Nasdaq delinquency notices for late Form 10-K and Form 10-Q filings further underscore governance weakness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Global Interactive Technologies exhibits overwhelmingly finite game characteristics. The company lacks a Just Cause beyond vague platform ambitions, shows no evidence of courageous long-term investment, and operates with governance deficiencies including late SEC filings and going concern disclosures. The short board tenure, minimal CEO compensation structure, and absence of strategic coherence suggest a company playing for survival rather than enduring impact.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The company articulates a vague purpose around connecting global K-culture fans through digital platforms, but this reads as a business description rather than a Just Cause [1]. There is no vision of a better future that invites sacrifice or transcends the product. Strategic decisions — the name change, celebrity partnerships, equity facility — appear opportunistic rather than purpose-driven [4]. Sinek would classify this as a company that exists to exist.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empowerment, or stability. Average board tenure of 2.8 years, CEO tenure of 2.2 years, and management team tenure of 4.4 years for a company founded in 2021 reflects standard startup churn rather than trust-building [1]. The Nasdaq delinquency notices for late filings suggest organizational dysfunction rather than a psychologically safe environment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competitive commentary or rival acknowledgment found in any public filings or communications. The company does not appear to engage with competitors in any meaningful way, whether finite or infinite [1][4].</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rebranded from Hanryu Holdings to Global Interactive Technologies in December 2024, but this was a cosmetic name change, not a strategic pivot driven by a Just Cause [4]. No evidence of willingness to abandon current approaches in service of a larger purpose. The business model has remained essentially unchanged since founding despite near-zero revenue generation [3].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investments or principled decisions. The CEO's $58.6K annual compensation with zero equity component suggests minimal personal commitment to the company's long-term success [1]. The Hudson Global Ventures equity facility represents securing a financing lifeline, not a courageous strategic bet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Global Interactive Technologies is a pre-revenue micro-cap ($5.5M market cap) with no viable business operations. The Faning fan engagement platform generated $96 of revenue in Q1 2026, and trailing twelve months revenue stands at $2K [1]. The only tangible financial development is an $18M equity purchase facility from Hudson Global Ventures providing on-demand capital, but there is no path to profitability or evidence of user traction [4]. The K-pop partnerships and platform development represent aspirational activity without monetization capability.</w:t>
      </w:r>
    </w:p>
    <w:p>
      <w:pPr>
        <w:spacing w:after="120"/>
      </w:pPr>
      <w:r>
        <w:rPr>
          <w:rFonts w:ascii="Calibri" w:hAnsi="Calibri"/>
          <w:b w:val="0"/>
          <w:color w:val="3A4A28"/>
          <w:sz w:val="20"/>
        </w:rPr>
        <w:t>The bear case is overwhelming: going concern doubt, $43M accumulated deficit, Nasdaq delinquency for late SEC filings, working capital deficiency of $1.13M, and a CEO paid $58.6K with no equity alignment [2][3]. The 52-week trading range of $0.66-$7.09 reflects speculative micro-cap volatility, not fundamental value creation. There is no analyst coverage, no institutional ownership of significance, and no catalyst that plausibly converts the current platform into a revenue-generating business. The risk of Nasdaq delisting is material given the repeated compliance failures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Successful monetization of the Faning platform through the Kang Daniel partnership and K-culture content, though no evidence of revenue traction exists to date</w:t>
      </w:r>
    </w:p>
    <w:p>
      <w:pPr>
        <w:spacing w:before="40" w:after="40"/>
        <w:ind w:left="283"/>
      </w:pPr>
      <w:r>
        <w:rPr>
          <w:rFonts w:ascii="Calibri" w:hAnsi="Calibri"/>
          <w:b/>
          <w:color w:val="4A6B25"/>
          <w:sz w:val="20"/>
        </w:rPr>
        <w:t xml:space="preserve">2. </w:t>
      </w:r>
      <w:r>
        <w:rPr>
          <w:rFonts w:ascii="Calibri" w:hAnsi="Calibri"/>
          <w:b w:val="0"/>
          <w:color w:val="3A4A28"/>
          <w:sz w:val="20"/>
        </w:rPr>
        <w:t>Deployment of the $18M Hudson Global Ventures equity facility to fund user acquisition and platform development that could demonstrate product-market fit</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acquisition or reverse merger that leverages the Nasdaq listing for a different business model entirely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doubt explicitly disclosed by management, with accumulated deficit of $43M and working capital deficiency of $1.13M creating existential survival risk [3]</w:t>
      </w:r>
    </w:p>
    <w:p>
      <w:pPr>
        <w:spacing w:before="40" w:after="40"/>
        <w:ind w:left="283"/>
      </w:pPr>
      <w:r>
        <w:rPr>
          <w:rFonts w:ascii="Calibri" w:hAnsi="Calibri"/>
          <w:b/>
          <w:color w:val="4A6B25"/>
          <w:sz w:val="20"/>
        </w:rPr>
        <w:t xml:space="preserve">2. </w:t>
      </w:r>
      <w:r>
        <w:rPr>
          <w:rFonts w:ascii="Calibri" w:hAnsi="Calibri"/>
          <w:b w:val="0"/>
          <w:color w:val="3A4A28"/>
          <w:sz w:val="20"/>
        </w:rPr>
        <w:t>Nasdaq delisting risk from repeated delinquency notices for late 10-K and 10-Q filings, which could eliminate the primary venue for equity trading [2]</w:t>
      </w:r>
    </w:p>
    <w:p>
      <w:pPr>
        <w:spacing w:before="40" w:after="40"/>
        <w:ind w:left="283"/>
      </w:pPr>
      <w:r>
        <w:rPr>
          <w:rFonts w:ascii="Calibri" w:hAnsi="Calibri"/>
          <w:b/>
          <w:color w:val="4A6B25"/>
          <w:sz w:val="20"/>
        </w:rPr>
        <w:t xml:space="preserve">3. </w:t>
      </w:r>
      <w:r>
        <w:rPr>
          <w:rFonts w:ascii="Calibri" w:hAnsi="Calibri"/>
          <w:b w:val="0"/>
          <w:color w:val="3A4A28"/>
          <w:sz w:val="20"/>
        </w:rPr>
        <w:t>Severe dilution risk from the $18M equity facility — drawing down capital at micro-cap valuations would massively dilute existing shareholders with no offsetting revenue growth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The company operates a digital fan engagement platform (Faning) in a category directly exposed to AI disruption. AI-powered recommendation engines, generative content tools, and chatbots from major platforms (TikTok, YouTube, Instagram) can replicate and surpass the community engagement features GITS offers, at massive scale with zero incremental cost [1]. The company has no proprietary data moat, no switching costs, and no regulatory barriers to AI-enabled competitors entering the K-culture fan space. The only partial protection is the niche cultural specificity of Korean pop culture fandom, which creates a modest barrier to generic AI platforms. AI Opportunity (0/1): No AI products, no AI revenue, and no AI strategy articulated in any public filing or announcement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StockAnalysis.com — GITS Financial Data and Company Profile, accessed July 2026</w:t>
      </w:r>
    </w:p>
    <w:p>
      <w:pPr>
        <w:spacing w:before="20" w:after="20"/>
        <w:ind w:left="170"/>
      </w:pPr>
      <w:r>
        <w:rPr>
          <w:rFonts w:ascii="Calibri" w:hAnsi="Calibri"/>
          <w:b/>
          <w:color w:val="4A6B25"/>
          <w:sz w:val="15"/>
        </w:rPr>
        <w:t xml:space="preserve">2. </w:t>
      </w:r>
      <w:r>
        <w:rPr>
          <w:rFonts w:ascii="Calibri" w:hAnsi="Calibri"/>
          <w:b w:val="0"/>
          <w:color w:val="3A4A28"/>
          <w:sz w:val="17"/>
        </w:rPr>
        <w:t>SEC Filing — Nasdaq Delinquency Compliance Alert Notice, April/May 2026</w:t>
      </w:r>
    </w:p>
    <w:p>
      <w:pPr>
        <w:spacing w:before="20" w:after="20"/>
        <w:ind w:left="170"/>
      </w:pPr>
      <w:r>
        <w:rPr>
          <w:rFonts w:ascii="Calibri" w:hAnsi="Calibri"/>
          <w:b/>
          <w:color w:val="4A6B25"/>
          <w:sz w:val="15"/>
        </w:rPr>
        <w:t xml:space="preserve">3. </w:t>
      </w:r>
      <w:r>
        <w:rPr>
          <w:rFonts w:ascii="Calibri" w:hAnsi="Calibri"/>
          <w:b w:val="0"/>
          <w:color w:val="3A4A28"/>
          <w:sz w:val="17"/>
        </w:rPr>
        <w:t>SEC Filing — Form 8-K, Q1 2026 Going Concern Disclosure and Financial Results, May 2026</w:t>
      </w:r>
    </w:p>
    <w:p>
      <w:pPr>
        <w:spacing w:before="20" w:after="20"/>
        <w:ind w:left="170"/>
      </w:pPr>
      <w:r>
        <w:rPr>
          <w:rFonts w:ascii="Calibri" w:hAnsi="Calibri"/>
          <w:b/>
          <w:color w:val="4A6B25"/>
          <w:sz w:val="15"/>
        </w:rPr>
        <w:t xml:space="preserve">4. </w:t>
      </w:r>
      <w:r>
        <w:rPr>
          <w:rFonts w:ascii="Calibri" w:hAnsi="Calibri"/>
          <w:b w:val="0"/>
          <w:color w:val="3A4A28"/>
          <w:sz w:val="17"/>
        </w:rPr>
        <w:t>StockTitan — GITS Strategic Announcements (Hudson Global Ventures Facility, Kang Daniel Partnership),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GITS Market Data and Key Statistics,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