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GLPI</w:t>
      </w:r>
      <w:r>
        <w:rPr>
          <w:rFonts w:ascii="Calibri" w:hAnsi="Calibri"/>
          <w:b/>
          <w:color w:val="1A2010"/>
          <w:sz w:val="40"/>
        </w:rPr>
        <w:t xml:space="preserve">  Gaming and Leisure Properties,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2026-07-14 · Inspire: -1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Specialty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Gaming and Leisure Properties, Inc. is a self-administered Pennsylvania REIT spun off from Penn National Gaming in 2013. GLPI acquires, finances, and owns real estate properties leased to gaming operators under triple-net lease agreements. The portfolio includes 71 gaming and related facilities across 21 states, making it the largest pure-play gaming REIT. Tenants include Penn Entertainment, Caesars Entertainment, Boyd Gaming, Bally's Corporation, and The Cordish Companies.</w:t>
      </w:r>
    </w:p>
    <w:p>
      <w:r>
        <w:rPr>
          <w:rFonts w:ascii="Calibri" w:hAnsi="Calibri"/>
          <w:b/>
          <w:color w:val="6E8450"/>
          <w:sz w:val="18"/>
        </w:rPr>
        <w:t>20 Employees · https://www.glpropinc.com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GLPI completed the $5.18B Bally's master lease in 2024, adding 14 properties. In Q1 2026, GLPI acquired Bally's Twin River Lincoln Casino Resort for $700M at 8.0% cap rate and committed $467M to fund the Live! Virginia Casino &amp; Hotel with The Cordish Companies [1]. The portfolio grew from 19 properties with one tenant to 71 properties with 8 tenants across 21 states. However, the triple-net lease model itself is unchanged since 2013. AI Deployment (0/2): No AI deployment relevant to a 20-person triple-net lease REIT. Market Share (2/2): GLPI is the largest pure-play gaming REIT by property count with 71 properties across 21 states, zero rent defaults since inception, and ~87.5% of cash rent from publicly reporting gaming companies [1][2]. Product Pipeline (1/2): Management raised FY2026 development spend guidance to $750-$800M, with ~$1.8B remaining in committed pipeline including Bally's Chicago ($940M), Live! Virginia ($467M), Aurora ($225M), and Tropicana Vegas ($175M) [1]. R&amp;D Intensity (0/1): Not applicable for REITs.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GLPI states it believes 'environmental and community stewardship is integral to growing shareholder value' -- a generic statement interchangeable with any REIT [2][3]. No distinctive Just Cause or aspirational vision found. Community Impact (1/2): GLPI operates responsible gaming initiatives addressing problem gambling, including employee training and self-exclusion programs modeled after AGA standards. ESG Steering Committee charter established 2022. Sustainalytics ESG risk score of 16 (Low) [3]. Employee Retention (1/2): Average management tenure of 11.5 years is exceptional -- CEO Peter Carlino has led since 2013, President Brandon Moore joined 2014, CFO Desiree Burke joined 2014 [2]. This stability for such a small team suggests mission alignment. Insider Buying (0/2): Net insider selling of $189K over last 90 days. Notable sales by Moore and Burke totaling over $1.3M. No net buying identified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scored. Q1 2026 revenue rose 6.3% YoY to record $420.0M, with AFFO increasing 9.2% to $297.1M ($1.02/share). FY2025 revenue was $1,594.8M (up 4.1%) with net income of $850.4M [1]. TTM profit margin of 55.1% and ROE of 19.1% are strong. D/E of 166% reflects structural REIT leverage with net debt/EBITDA of 5.0x at target floor and BBB- credit ratings [1][4]. Forward P/E of 13.5x is well below the 20 target. Dividend yield of 7.08% ($3.12/share) with 12 consecutive years paid and 10 consecutive years of growth. GAAP payout ratio of ~100% and 5-year dividend growth CAGR of ~3% trail inflation [4]. Management raised 2026 AFFO guidance to $4.08-$4.12/share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GLPI operates with a long-term investment horizon inherent to the REIT model -- triple-net leases spanning 20+ years with renewal options naturally create infinite-horizon thinking around asset quality and tenant relationships. The zero-default record since inception and growth from 19 to 71 properties demonstrate patient execution. However, the company is fundamentally a capital allocation vehicle rather than a purpose-driven organization.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GLPI exists to acquire and own gaming real estate -- a valid business purpose but not a Just Cause in Sinek's terms. The company's reason for being is to generate predictable cash flows through triple-net leases. Environmental and community stewardship is cited as integral to shareholder value, not as a purpose in itself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With only 20 employees, GLPI operates as a tight-knit team where trust is high by necessity. Average management tenure of 11.5 years is exceptional -- CEO Carlino, President Moore, and CFO Burke have all been with the company since 2013-2014 [2]. CEO noted these executives were 'instrumental in growing GLPI from one tenant with 19 properties to six tenants with 57 properties.'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GLPI acknowledges VICI Properties as a worthy competitor and has used VICI's strengths -- particularly its Las Vegas Strip concentration -- to differentiate through geographic diversification across 21 states and multiple tenant relationships. Management frames competition in terms of finding the best risk-adjusted deals at 8%+ cap rates rather than defeating VICI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GLPI demonstrated meaningful flexibility by diversifying from complete Penn Entertainment dependency to 8 tenants through Caesars, Boyd, Bally's, and Cordish transactions. The ~$1.8B development pipeline and tribal gaming exploration represent strategic evolution [1]. However, these are incremental expansions of the same triple-net lease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$5.18B Bally's master lease, $700M Twin River Lincoln acquisition, and $467M Live! Virginia development commitment were bold capital allocation decisions that transformed tenant concentration risk. Management accepted higher leverage and issued $800M in new senior notes at 5.625% to execute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GLPI offers a compelling income play with a 7.08% dividend yield backed by triple-net lease agreements with built-in annual escalators across 71 gaming properties in 21 states with zero rent defaults since inception [1]. Q1 2026 delivered record revenue of $420M (up 6.3% YoY) and AFFO of $297.1M (up 9.2%), prompting management to raise full-year AFFO guidance to $4.08-$4.12/share [1]. TTM profit margin of 55.1%, ROE of 19.1%, and forward P/E of 13.5x represent attractive fundamentals. The $1.8B development pipeline at blended cap rates above 8% provides multi-year growth visibility, while rent coverage ratios averaging 2x+ ensure income stability [1][4].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risk is tenant credit quality deterioration in a recession -- casino revenue is discretionary spending, and Bally's Corporation carries elevated leverage that could pressure the 2.20x lease coverage ratio [1]. D/E of 166% and net debt/EBITDA of 5.0x limit acquisition flexibility without equity issuance (shelf registration utilized in 2025). GAAP payout ratio of ~100% constrains dividend growth to 3% annually, trailing inflation. Weighted average cost of debt at 5.026% leaves limited spread versus 8%+ cap rates on new acquisitions. Net insider selling across management in recent quarters signals lack of conviction at current valuation [2][4].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~$1.8B committed development pipeline at 8%+ cap rates including Bally's Chicago ($940M), Live! Virginia ($467M), and Aurora ($225M) providing multi-year accretive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Raised FY2026 AFFO guidance to $4.08-$4.12/share after Q1 beat, with development spend guidance of $750-$800M signaling accelerating deployment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Tenant diversification reducing single-tenant concentration risk, with potential tribal gaming partnerships opening a previously inaccessible addressable market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Regional casino revenue decline in a recession could pressure tenant operators' ability to meet lease obligations, particularly Bally's with only 2.20x rent coverage and elevated corporate leverage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Net debt/EBITDA of 5.0x and $800M new senior notes at 5.625% coupon limit financial flexibility for additional acquisitions without dilutive equity raises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GAAP payout ratio of ~100% constrains dividend growth to 3% annually, making the 7.1% yield vulnerable if interest rates remain elevated and income investors find comparable yields in lower-risk fixed income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GLPI's business is structurally immune to AI disruption. The company owns physical casino real estate leased under long-term triple-net agreements with built-in escalators -- AI cannot replace physical casino buildings, land, or regulatory gaming licenses across 21 states [1]. Casino gaming has irreducible physical-world components that AI augments rather than replaces. Rent coverage ratios averaging 2x+ across major tenants (Boyd 2.47x, Cordish PA Live! 2.55x, Bally's 2.20x) provide substantial buffer [1]. The indirect risk of AI-powered online gambling cannibalizing physical casino attendance is mitigated by historical complementarity. AI Opportunity (1/1): Tenant operators are deploying AI-driven player analytics and marketing optimization that could improve property-level revenue performance, indirectly benefiting GLPI through rent coverage and escalator triggers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-1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Gambling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GLPI Q1 2026 Record Results and Raised Guidance -- SEC 8-K Filing,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GLPI Leadership, Insider Activity, and 10-K Annual Report 2025 -- glpropinc.com, InsiderScreener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GLPI Corporate Responsibility, ESG Steering Committee, Sustainalytics Rating -- glpropinc.com, Yahoo Finance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StockAnalysis.com, GuruFocus, MacroTrends -- GLPI Key Statistics and Financial Data,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