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GPCR</w:t>
      </w:r>
      <w:r>
        <w:rPr>
          <w:rFonts w:ascii="Calibri" w:hAnsi="Calibri"/>
          <w:b/>
          <w:color w:val="1A2010"/>
          <w:sz w:val="40"/>
        </w:rPr>
        <w:t xml:space="preserve">  Structure Therapeutics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Structure Therapeutics is a clinical-stage biopharmaceutical company focused on discovering and developing innovative oral small molecule treatments for chronic metabolic conditions, primarily obesity and type 2 diabetes. The company's lead candidate, aleniglipron, is an oral GLP-1 receptor agonist in Phase 3 (ACCOMPLISH program) that demonstrated 16.2% weight loss at 44 weeks in Phase 2b ACCESS trial, published in Nature Medicine. Founded in 2018 and headquartered in South San Francisco, the company trades as ADRs on Nasdaq with a $3.78B market cap, $1.34B cash position, and 16 covering analysts with a Strong Buy consensus.</w:t>
      </w:r>
    </w:p>
    <w:p>
      <w:r>
        <w:rPr>
          <w:rFonts w:ascii="Calibri" w:hAnsi="Calibri"/>
          <w:b/>
          <w:color w:val="6E8450"/>
          <w:sz w:val="18"/>
        </w:rPr>
        <w:t>400 Employees · https://www.structuretx.com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Structure Therapeutics has advanced from company founding in 2018 to Phase 3 clinical trials within 8 years, achieving Phase 2b results showing 16.2% weight loss at 44 weeks with aleniglipron — data published in Nature Medicine [1]. This is meaningful R&amp;D execution in one of the most competitive therapeutic areas, though no product has launched commercially. AI Deployment (1/2): The company is actively hiring for Senior Director, AI &amp; Data Engineering and Director, Clinical AI Technologies to lead enterprise-wide AI/ML strategy across discovery, preclinical, and clinical operations [2]. Structure-based drug design is inherently computational, and the company is deploying AI for clinical trial optimization. However, no specific quantified AI-driven savings or AI revenue has been reported. Market Share (1/2): Structure Therapeutics is a significant player in the emerging oral GLP-1 obesity market, one of the most valuable therapeutic frontiers in biopharma. The Phase 2b data positions aleniglipron as competitive with larger rivals' oral programs, attracting 16 analyst ratings with a Strong Buy consensus and $105 average price target [1]. No commercial market share yet. Product Pipeline (2/2): Robust, time-specific pipeline — Phase 3 ACCOMPLISH program initiated with 4,700+ patients across two trials, ACCESS OLE results expected Q3 2026, body composition and T2DM data Q4 2026, ACCG-2671 MAD trial Q3 2026, ACCG-3535 Phase 1 Q4 2026, and combination therapy trial Q4 2026 [1]. Clear revenue visibility milestones. R&amp;D Intensity (1/1): R&amp;D spending of $100.1M in Q2 2026 alone, representing 84% of total operating expenses — far above the biotech industry average as a percentage of revenue (infinite, since revenue is $0)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Structure Therapeutics' mission centers on 'discovering and developing innovative oral small molecule treatments for chronic metabolic conditions' [1]. CEO Stevens emphasizes 'treatment flexibility across the obesity management journey' and accessibility advantages over injectable therapies, positioning oral alternatives as more democratic than Novo Nordisk's and Lilly's injection-based franchises. Clear and identifies the problem being solved, but not yet validated by execution over time. Community Impact (0/2): No evidence of charitable giving or community programs. Clinical-stage biotech with all resources directed toward drug development. Appropriate for stage but no score earned. Employee Retention (0/2): Only 2 Glassdoor reviews with sharply conflicting perspectives — one citing 'awesome working culture with innovation encouraged' and another warning 'do not work here if you value quality and compliance' with criticism of disengaged senior leadership [2]. Insufficient data to score. Insider Buying (0/2): No evidence of meaningful net insider buying identified in searches. Stock has appreciated 226% over the past year, which may reduce incentive for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With zero revenue and negative earnings, most infrastructure metrics are unavailable or at floor values [3]. D/E of effectively 0% ($6.2M debt against $1.34B cash) scores perfectly — the balance sheet is fortress-like with net cash of $18.80 per share [3]. However, ROE of -20.21% scores at floor (0.0), reflecting the inherent cash burn of pre-revenue drug development — $268M in operating losses over the trailing twelve months. Forward P/E, PEG ratio, profit margin, and revenue growth metrics are all unavailable and excluded from calculation. The resulting score reflects only two available data points: pristine leverage offset by deeply negative returns on equity. Average daily dollar volume of $28.6M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Structure Therapeutics shows elements of infinite-game thinking in its mission to democratize obesity treatment through oral alternatives to injections, but at 8 years old and pre-revenue, the company has not been tested through adversity or proven its commitment through cycles. The competitive race against Novo Nordisk and Eli Lilly in oral GLP-1 obesity drugs creates inherently finite-game pressure — the company must win clinical and regulatory milestones or face irrelevance.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effective oral obesity treatments accessible to patients who cannot or will not use injectable therapies is a genuine, purposeful cause that connects to something bigger — the global obesity epidemic affecting over 1 billion people [1]. CEO Stevens' emphasis on 'treatment flexibility' and 'accessibility advantages over injectable therapies' articulates a clear distinction from competitors. The hiring of a CCO from Novo Nordisk signals commercial intentionality aligned with the mission. However, the company is only 8 years old with no commercial products, so the cause has not been validated through execution or tested through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evidence to award points. Only 2 Glassdoor reviews exist, presenting contradictory views — one describing an awesome, innovative culture and another warning against working there due to leadership disengagement and lack of quality/compliance values [2]. The company is growing rapidly (R&amp;D expenses nearly doubled YoY), which creates organizational strain. The negative review's specific criticism of senior leadership 'knowing nothing of innovative research methods' is concerning for a company whose competitive advantage depends on research excellence.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Stevens explicitly acknowledged the 'compounding threat' from competitors developing copycat oral obesity treatments, demonstrating awareness that rivals' strengths create pressure to improve [2]. The hiring of John Berrios as CCO directly from Novo Nordisk — the dominant player in obesity treatment — shows respect for the worthy rival's commercial capabilities. Structure is building its commercial organization by learning from the market leader rather than dismissing the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Structure Therapeutics is too young (founded 2018) to have faced an existential flexibility test. The company has pursued oral small molecule metabolic treatments since founding and has not needed to pivot. The expansion from GLP-1 agonists to dual amylin/calcitonin receptor agonists and combination therapies represents pipeline diversification within the same therapeutic approach, not transformative reinvention [1]. The test will come if aleniglipron Phase 3 data disappoints.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$200M+ annually to R&amp;D with zero revenue in a head-to-head race against Novo Nordisk and Eli Lilly — companies with combined market caps exceeding $1.5 trillion — requires genuine conviction [1]. The decision to initiate a 4,700+ patient Phase 3 program while simultaneously advancing three additional clinical candidates demonstrates capital allocation courage. However, this courage is effectively required for any clinical-stage biotech — the alternative is to shut down. No evidence of choosing mission over an easier or more profitable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Structure Therapeutics is a high-conviction obesity drug play with aleniglipron showing 16.2% weight loss at 44 weeks in Phase 2b — competitive with Novo Nordisk's injectable semaglutide — in an oral formulation that addresses the massive unmet need for non-injectable obesity treatments [1]. The $3.78B market cap against $1.34B cash and a $105 analyst price target (97% upside) reflects strong Street confidence in the Phase 3 ACCOMPLISH program. The pipeline is deep: dual amylin/calcitonin agonist ACCG-2671 in Phase 1, ACCG-3535 entering clinic Q4 2026, and combination therapy trials planned. The CCO hire from Novo Nordisk signals commercial infrastructure building. Cash runway extends through end of 2028, covering all major clinical milestones without additional financing.</w:t>
      </w:r>
    </w:p>
    <w:p>
      <w:pPr>
        <w:spacing w:after="120"/>
      </w:pPr>
      <w:r>
        <w:rPr>
          <w:rFonts w:ascii="Calibri" w:hAnsi="Calibri"/>
          <w:b w:val="0"/>
          <w:color w:val="3A4A28"/>
          <w:sz w:val="20"/>
        </w:rPr>
        <w:t>The bear case centers on clinical and competitive execution risk. Aleniglipron must demonstrate durable, dose-dependent weight loss in a 4,700+ patient Phase 3 program against a backdrop of Novo Nordisk, Eli Lilly, Amgen, Pfizer, and Roche all pursuing oral obesity treatments — the most competitive therapeutic area in biopharma history [1]. Net loss widened to $106.2M in Q2 2026 from $61.7M in Q2 2025, reflecting escalating R&amp;D burn. CEO Stevens acknowledged the 'compounding threat' from copycat formulations. With zero revenue and -20% ROE, the company's entire value is option-like: Phase 3 success could justify a $10B+ valuation, but clinical failure would destroy 60-80% of market cap overnight. Glassdoor reviews flagging quality/compliance concerns from a clinical-stage company are a red flag for a business whose entire value depends on clinical trial integrity [2]. The IOWN infrastructure score of 3 reflects the fundamental financial vulnerability of a pre-revenue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2b ACCESS open-label extension results expected Q3 2026 could demonstrate sustained or improving weight loss beyond 44 weeks, de-risking the Phase 3 ACCOMPLISH program and potentially triggering a re-rating toward the $105 analyst target [1]</w:t>
      </w:r>
    </w:p>
    <w:p>
      <w:pPr>
        <w:spacing w:before="40" w:after="40"/>
        <w:ind w:left="283"/>
      </w:pPr>
      <w:r>
        <w:rPr>
          <w:rFonts w:ascii="Calibri" w:hAnsi="Calibri"/>
          <w:b/>
          <w:color w:val="4A6B25"/>
          <w:sz w:val="20"/>
        </w:rPr>
        <w:t xml:space="preserve">2. </w:t>
      </w:r>
      <w:r>
        <w:rPr>
          <w:rFonts w:ascii="Calibri" w:hAnsi="Calibri"/>
          <w:b w:val="0"/>
          <w:color w:val="3A4A28"/>
          <w:sz w:val="20"/>
        </w:rPr>
        <w:t>Phase 3 ACCOMPLISH enrollment and interim data — with 4,700+ patients across two trials, positive interim signals or rapid enrollment could differentiate aleniglipron from competing oral GLP-1 programs at Pfizer, Roche, and others [1]</w:t>
      </w:r>
    </w:p>
    <w:p>
      <w:pPr>
        <w:spacing w:before="40" w:after="40"/>
        <w:ind w:left="283"/>
      </w:pPr>
      <w:r>
        <w:rPr>
          <w:rFonts w:ascii="Calibri" w:hAnsi="Calibri"/>
          <w:b/>
          <w:color w:val="4A6B25"/>
          <w:sz w:val="20"/>
        </w:rPr>
        <w:t xml:space="preserve">3. </w:t>
      </w:r>
      <w:r>
        <w:rPr>
          <w:rFonts w:ascii="Calibri" w:hAnsi="Calibri"/>
          <w:b w:val="0"/>
          <w:color w:val="3A4A28"/>
          <w:sz w:val="20"/>
        </w:rPr>
        <w:t>ACCG-2671 Phase 1 MAD data (Q3 2026) could validate the dual amylin/calcitonin receptor agonist mechanism as a differentiated second product, expanding the portfolio's optionality beyond GLP-1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ACCOMPLISH clinical failure or safety signal would be catastrophic — the entire $3.78B market cap is predicated on aleniglipron succeeding, and Phase 3 failure in obesity drugs has precedent (Gelesis, Nalpropion) [1]</w:t>
      </w:r>
    </w:p>
    <w:p>
      <w:pPr>
        <w:spacing w:before="40" w:after="40"/>
        <w:ind w:left="283"/>
      </w:pPr>
      <w:r>
        <w:rPr>
          <w:rFonts w:ascii="Calibri" w:hAnsi="Calibri"/>
          <w:b/>
          <w:color w:val="4A6B25"/>
          <w:sz w:val="20"/>
        </w:rPr>
        <w:t xml:space="preserve">2. </w:t>
      </w:r>
      <w:r>
        <w:rPr>
          <w:rFonts w:ascii="Calibri" w:hAnsi="Calibri"/>
          <w:b w:val="0"/>
          <w:color w:val="3A4A28"/>
          <w:sz w:val="20"/>
        </w:rPr>
        <w:t>Intense competitive pressure from 10+ oral GLP-1 programs at larger, better-resourced rivals (Novo Nordisk, Lilly, Pfizer, Roche, Amgen) could render aleniglipron's differentiation insufficient even with successful Phase 3 data</w:t>
      </w:r>
    </w:p>
    <w:p>
      <w:pPr>
        <w:spacing w:before="40" w:after="40"/>
        <w:ind w:left="283"/>
      </w:pPr>
      <w:r>
        <w:rPr>
          <w:rFonts w:ascii="Calibri" w:hAnsi="Calibri"/>
          <w:b/>
          <w:color w:val="4A6B25"/>
          <w:sz w:val="20"/>
        </w:rPr>
        <w:t xml:space="preserve">3. </w:t>
      </w:r>
      <w:r>
        <w:rPr>
          <w:rFonts w:ascii="Calibri" w:hAnsi="Calibri"/>
          <w:b w:val="0"/>
          <w:color w:val="3A4A28"/>
          <w:sz w:val="20"/>
        </w:rPr>
        <w:t>Cash burn acceleration — operating losses nearly doubled YoY to $106.2M in Q2 2026 — could force dilutive financing before Phase 3 readout despite the current $1.34B cash position, particularly if pipeline expansion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obesity and metabolic disease is structurally resistant to AI disruption. The clinical trial process — patient recruitment, dosing, safety monitoring, FDA/regulatory interactions — involves physical-world medical operations and deeply regulated processes that AI cannot replace [1]. Oral small molecule drug discovery has inherent biological complexity that AI can assist but not shortcut: protein crystallography, pharmacokinetics, formulation science, and human clinical validation. The competitive threat from AI is indirect — larger rivals like Novo Nordisk and Eli Lilly can deploy AI to accelerate their own oral programs, potentially narrowing Structure's development timeline advantage. However, the core barrier to entry remains clinical data quality and regulatory approval, not AI capability. AI Opportunity (0/1): Structure Therapeutics is investing in AI/ML for drug discovery and clinical trial optimization, hiring for senior AI roles across the organization [2]. However, the company generates zero commercial revenue from any source, so it cannot generate AI revenue specifically. The AI investment is a cost center accelerating R&amp;D,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Structure Therapeutics Q2 2026 Earnings Release — Financial Results, ACCOMPLISH Phase 3 Initiation, Pipeline Updates, BioSpace, July 2026</w:t>
      </w:r>
    </w:p>
    <w:p>
      <w:pPr>
        <w:spacing w:before="20" w:after="20"/>
        <w:ind w:left="170"/>
      </w:pPr>
      <w:r>
        <w:rPr>
          <w:rFonts w:ascii="Calibri" w:hAnsi="Calibri"/>
          <w:b/>
          <w:color w:val="4A6B25"/>
          <w:sz w:val="15"/>
        </w:rPr>
        <w:t xml:space="preserve">2. </w:t>
      </w:r>
      <w:r>
        <w:rPr>
          <w:rFonts w:ascii="Calibri" w:hAnsi="Calibri"/>
          <w:b w:val="0"/>
          <w:color w:val="3A4A28"/>
          <w:sz w:val="17"/>
        </w:rPr>
        <w:t>Structure Therapeutics Leadership, AI Hiring, and Glassdoor Reviews — TheOrg, Built In,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GPCR Key Statistics, Valuation, and Cash Position,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