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GSK</w:t>
      </w:r>
      <w:r>
        <w:rPr>
          <w:rFonts w:ascii="Calibri" w:hAnsi="Calibri"/>
          <w:b/>
          <w:color w:val="1A2010"/>
          <w:sz w:val="40"/>
        </w:rPr>
        <w:t xml:space="preserve">  GSK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2026-08-26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Manufacturers—General · NYSE · United Kingdom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GSK plc is a global biopharma company focused on uniting science, technology, and talent to get ahead of disease. The company operates across Specialty Medicines (HIV, oncology, respiratory/immunology), General Medicines, and Vaccines segments, with leading positions in HIV (ViiV Healthcare), respiratory, and vaccines (Shingrix, Arexvy). Headquartered in London, the company is accelerating its late-stage pipeline while funding reinvestment through a newly announced multi-year cost-savings program.</w:t>
      </w:r>
    </w:p>
    <w:p>
      <w:r>
        <w:rPr>
          <w:rFonts w:ascii="Calibri" w:hAnsi="Calibri"/>
          <w:b/>
          <w:color w:val="6E8450"/>
          <w:sz w:val="18"/>
        </w:rPr>
        <w:t>67,000 Employees · https://www.gsk.com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GSK's R&amp;D reacceleration is now visible in results — Q2 2026 revenue reached $11.15B (beating consensus of $8.25B) with specialty medicines up 14% and vaccines up 8% (Shingrix and Arexvy-led), and the newly announced Accelerate Growth program targets £1.9B in annualized cost savings by 2029 to fund reinvestment [1]. This is a meaningful acceleration but not yet a category-redefining pivot. AI Deployment (2/2): GSK used AI to cut two years off an RSV clinical trial by optimizing site selection based on real-time infection tracking, and CEO Emma Walmsley personally oversaw the AI strategy with monthly leadership check-ins and AI goals embedded in executive incentive compensation [2]. Market Share (1/2): GSK leads specific franchises (Shingrix in shingles vaccination, ViiV in HIV) but does not hold overall category dominance against Pfizer, Merck, and AstraZeneca across its full portfolio. Product Pipeline (2/2): More than 20 Phase III trial starts are planned for 2026 (up from 7 in 2024) across 18 indications and 7 key assets in oncology, respiratory, hepatology, and vaccines — a specific, quantified pipeline acceleration [1]. R&amp;D Intensity (1/1): R&amp;D spending rose 18% YoY, notably counter-cyclical given that pharma industry R&amp;D spend fell 3.6% overall during the same period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'Unite science, technology and talent to get ahead of disease together,' with a specific goal of positively impacting 2.5 billion people by decade's end, is a specific and thoughtful purpose that goes beyond treating disease to preventing it [2]. Community Impact (0/2): No specific charitable dollar figures or distinctive community programs were surfaced in this research pass. Employee Retention (0/2): No hard tenure or turnover data was identified; DEI recognitions (Stonewall, Hampton-Alexander) are explicitly excluded from Inspiration scoring per methodology. Insider Buying (0/2): No meaningful net insider buying was identified in this research pass.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Forward P/E of 10.23x is well inside the 20x target, and ROE of 33.38% and revenue growth of 5.0% YoY (constant-currency; guidance raised to high-single-digit for full-year 2026) both clear their respective floors comfortably [4]. Profit margin of 14.52% and 5-year revenue CAGR of ~7.2% sit moderately below their 20%/10% targets. D/E of 106% is elevated ($25.2B debt vs. $4.6B cash). The dividend profile is mixed: 34 consecutive years of payment and a reasonable 57.15% payout ratio are offset by only 2 consecutive years of dividend growth and a negative 5-year dividend CAGR of -4.4%, both legacies of the 2022 Haleon consumer-health spinoff that reset the per-share dividend base [4]. Liquidity floor is easily cleared at ~$184M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GSK under Emma Walmsley has made one of pharma's most significant acts of existential flexibility — separating Haleon to become a focused biopharma company — and is now backing that bet with a 3x acceleration in Phase III trial starts and an 18% R&amp;D spending increase even as legacy Zantac litigation resolved for $2.2B. The purpose of 'getting ahead of disease together' is genuine and increasingly well-funded, though evidentiary gaps in community programs, retention data, and rival-learning language keep the overall score in MIXED territory rather than INFINITE.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'Unite science, technology and talent to get ahead of disease together' with a specific 2.5-billion-lives target by decade's end is genuine and increasingly funded by action — the £1.9B Accelerate Growth savings program is explicitly framed as enabling further R&amp;D reinvestment [1][2]. It has not yet been tested through a full economic cycle in its current focused-biopharma form.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reviews cite good benefits and work-life balance as strengths, and Walmsley has publicly emphasized building capable, diverse teams, but persistent criticism of bureaucratic, slow-moving decision processes and no quantified retention data keep this at adequate rather than exceptional trust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surfaced this round of GSK explicitly framing Pfizer, Merck, or AstraZeneca as worthy rivals whose strengths inform its own strategy; competitive commentary centers on patent-cliff replacement and market execution rather than rival-learning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The 2022 Haleon consumer-health spinoff — abandoning a stable, profitable diversification business to refocus purely on biopharma — was a genuine existential bet, and the subsequent R&amp;D reacceleration (7 to 20+ Phase III starts) and pipeline-strengthening deals show the pivot continuing to compound rather than stalling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Raising R&amp;D spend 18% YoY while simultaneously running a major cost-savings program to fund it, accelerating Phase III starts nearly 3x, and resolving the bulk of Zantac litigation for $2.2B rather than allowing it to drag indefinitely, together reflect a pattern of costly, proactive long-term decisions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GSK's focused biopharma strategy is delivering accelerating results — Q2 2026 revenue of $11.15B beat consensus by more than $2.9B, core EPS of $0.68 topped estimates by 44%, and specialty medicines/vaccines growth (14%/8%) drove the guidance raise to high-single-digit full-year 2026 sales growth [1]. The pipeline reacceleration is the core thesis: more than 20 Phase III starts planned for 2026 versus just 7 in 2024, funded partly by the new £1.9B Accelerate Growth cost-savings program, with AI-enabled trial design already cutting two years off an RSV program [1][2]. At 10.23x forward earnings with a 3.4% dividend yield and 34 consecutive years of dividend payment, GSK offers a statistically inexpensive entry into a re-accelerating pharma growth story with an ROE of 33.4%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dividend quality and legacy liabilities. The 5-year dividend growth CAGR is negative (-4.4%) and the growth streak resets to just 2 years, both legacies of the 2022 Haleon spinoff dividend reset — income investors have not been well served over the medium term despite the reasonable 57.15% payout ratio [4]. The Faith Alignment score of -49 (MISALIGNED) reflects an LGBT Activism negative attribution that carries zero weight in the overall score but is a material screening consideration for faith-aligned investors [3]. D/E of 106% is moderately elevated, and while the bulk of Zantac litigation settled for $2.2B, residual case risk persists [3]. Patent expirations later this decade on key franchises (including the dolutegravir HIV franchise) create a revenue cliff that the accelerated Phase III pipeline must successfully replace — execution risk on 20+ simultaneous trial starts is non-trivial.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Pipeline acceleration to 20+ Phase III starts in 2026 (up from 7 in 2024) across oncology, respiratory, hepatology, and vaccines could materially de-risk the post-2020s revenue base if even a subset reads out successfully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£1.9B Accelerate Growth annualized cost-savings program (fully realized by 2029) funds reinvestment into R&amp;D without requiring incremental leverage, supporting margin expansion alongside pipeline investment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AI-enabled clinical trial design (already demonstrated cutting 2 years off an RSV trial) could compound across the newly accelerated Phase III slate, shortening time-to-market for the next wave of specialty medicines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5-year dividend growth CAGR (-4.4%) and only 2 consecutive years of dividend growth undermine the income thesis despite the 34-year uninterrupted payment streak and 3.4% current yield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Patent expirations later this decade on key franchises, including the dolutegravir HIV portfolio, create a revenue cliff that depends on 20+ simultaneous Phase III programs executing successfully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Residual Zantac litigation risk persists beyond the $2.2B settlement of the bulk of U.S. cases, and the -49 Inspire Insight score (LGBT Activism attribution) is an explicit screening consideration for faith-aligned investors even though it carries no weight in the overall score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Pharmaceutical discovery, clinical development, regulatory approval, and manufacturing are deeply regulated physical-world processes AI cannot bypass — new drugs require a decade or more of clinical development and FDA/EMA review regardless of how AI accelerates internal R&amp;D steps, and marketed franchises (Shingrix, ViiV HIV portfolio) are protected by patents and prescribing relationships [2]. AI-native biotech competitors pose a modest longer-horizon threat to future pipeline competitiveness rather than current revenue. AI Opportunity (0/1): AI delivers R&amp;D efficiency (the 2-year RSV trial acceleration) rather than a quantifiable, separately reported AI product-revenue line, so this does not clear the bar for a direct AI revenue tiebreaker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GSK Q1 2026 and Q2 2026 Results — gsk.com press releases, April/July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GSK CEO Emma Walmsley and AI-enabled drug discovery — Columbia Business School, Semafor,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Zantac (ranitidine) litigation settlement — GSK statements, MarketScreener, 2023-2026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GSK statistics and financials, accessed August 26,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