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GS</w:t>
      </w:r>
      <w:r>
        <w:rPr>
          <w:rFonts w:ascii="Calibri" w:hAnsi="Calibri"/>
          <w:b/>
          <w:color w:val="1A2010"/>
          <w:sz w:val="40"/>
        </w:rPr>
        <w:t xml:space="preserve">  The Goldman Sachs Group, Inc.</w:t>
      </w:r>
    </w:p>
    <w:p>
      <w:pPr>
        <w:spacing w:after="120"/>
      </w:pPr>
      <w:r>
        <w:rPr>
          <w:rFonts w:ascii="Calibri" w:hAnsi="Calibri"/>
          <w:b/>
          <w:color w:val="6E8450"/>
          <w:sz w:val="18"/>
        </w:rPr>
        <w:t>GROWTH SLEEVE · 2026-07-14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United States</w:t>
      </w:r>
    </w:p>
    <w:p>
      <w:pPr>
        <w:spacing w:after="80"/>
      </w:pPr>
      <w:r>
        <w:rPr>
          <w:rFonts w:ascii="Calibri" w:hAnsi="Calibri"/>
          <w:b w:val="0"/>
          <w:color w:val="3A4A28"/>
          <w:sz w:val="20"/>
        </w:rPr>
        <w:t>The Goldman Sachs Group, Inc. is a leading global financial institution providing a wide range of financial services including investment banking, securities, asset management, and consumer banking. Founded in 1869, Goldman Sachs serves corporations, financial institutions, governments, and individuals worldwide. Under CEO David Solomon, the firm has refocused on its core institutional strengths after retreating from consumer banking (Marcus). Headquartered in New York City with approximately 47,400 employees globally.</w:t>
      </w:r>
    </w:p>
    <w:p>
      <w:r>
        <w:rPr>
          <w:rFonts w:ascii="Calibri" w:hAnsi="Calibri"/>
          <w:b/>
          <w:color w:val="6E8450"/>
          <w:sz w:val="18"/>
        </w:rPr>
        <w:t>47,400 Employees · https://www.goldmansachs.com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Goldman Sachs launched Marcus (consumer banking) as a major business model transformation in 2016 but subsequently retreated from the consumer segment in 2023-2024, representing a failed pivot. The firm has pivoted to asset management and alternatives as growth drivers, expanding its asset management AUM significantly. However, no new business line has matched the transformative ambition of Marcus [1][2]. AI Deployment (1/2): Goldman is actively deploying AI across trading, risk management, and advisory workflows. CEO Solomon stated the firm is "re-engineering processes, building agents, and managing change" but does not expect measurable AI impact until 2027-2028 [3]. AI tools are being used internally for code generation, document analysis, and client insights, but no quantified revenue or cost savings have been disclosed. Market Share (2/2): Goldman Sachs is the #1 or #2 investment bank globally across M&amp;A advisory, equity underwriting, and FICC trading. Q1 2026 delivered the firm's biggest quarter ever from equities trading, helping propel overall revenue to its second-highest quarterly level [1][2]. The firm maintains dominant positions in institutional financial services. Product Pipeline (1/2): Goldman is expanding alternatives and asset management, with AUM growth trajectory and transaction banking buildout providing revenue diversification. However, specific next-generation product timelines are limited [1]. R&amp;D Intensity (1/1): Goldman invests approximately \B annually in technology, placing it among the top spenders in financial services relative to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Goldman Sachs articulates its purpose as advancing "sustained progress" in service to others, with a commitment to "advancing sustainable economic growth and financial opportunity." This purpose is specific and thoughtful, connecting the firm's work to broader economic advancement. Strategic decisions — such as the 10,000 Small Businesses initiative and One Million Black Women commitment — trace back to this purpose [3][4]. Community Impact (2/2): Goldman Sachs Foundation, 10,000 Small Businesses (providing capital and education to small business owners), One Million Black Women initiative (B investment commitment), and Community TeamWorks volunteer program demonstrate substantial, distinctive community investment with specific programs, dollar amounts, and measurable impact [4]. Employee Retention (1/2): Goldman maintains a high-performance culture with competitive compensation. The firm employs 47,400 people, up 2% YoY, suggesting net hiring rather than attrition. Average tenure data is not publicly disclosed, and the demanding Wall Street culture creates higher-than-average voluntary turnover for junior roles, though senior leadership stability is strong [3]. Insider Buying (0/2): CEO Solomon's compensation is heavily equity-linked, but no evidence of meaningful net insider buying by executives in the last 12 months was identified. Insider ownership at large financial institutions is typically minimal relative to market cap.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Goldman Sachs delivered exceptional Q1 2026 results with net revenues of .2B (up 14% YoY) and net earnings of \.6B, producing diluted EPS of .55 versus .25 a year earlier [1][2]. Full-year 2025 net revenues of \8.28B and EPS of .32 represented a 27% increase in earnings over 2024 [1]. ROE of 15.7% exceeds the 15% target, and the forward P/E of 17.2 sits well below the 20 threshold. Revenue growth of approximately 9% YoY (full-year 2025) and an estimated 5.5% 5-year CAGR reflect the cyclicality of capital markets revenue. Net profit margin of 14.1% is solid for a diversified financial institution but below the 20% ideal [5]. The key weakness is debt-to-equity of 596%, which scores at the floor — this is structural for a leveraged financial institution where the balance sheet IS the business, not a sign of financial distress. Forward PEG of approximately 1.43 is reasonable given the earnings growth trajectory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Goldman Sachs under David Solomon plays a mixed game — the firm has genuine long-term institutional ambitions and has made courageous strategic pivots (exiting consumer banking when it wasn't working), but the quarterly earnings focus of Wall Street and the performance-driven, competitive culture create inherent tension with infinite game principles. Solomon's emphasis on being "incredibly well positioned" for the next three to five years reflects strategic thinking, but the firm's retreat from Marcus and the Net-Zero Banking Alliance exit signal pragmatism over principle when stakes are high.</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Goldman Sachs's purpose of advancing "sustained progress" and "sustainable economic growth and financial opportunity" is genuine and connects the firm's work to broader societal value. The 10,000 Small Businesses program and One Million Black Women initiative demonstrate purpose beyond profit [4]. However, the purpose has not been tested through the kind of multi-decade consistency that defines a true Just Cause — Goldman's exit from the Net-Zero Banking Alliance and retreat from consumer banking suggest the firm prioritizes pragmatism over principle when costs are real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Goldman Sachs maintains a high-performance culture with strong compensation and leadership stability at the senior level. Solomon expressed pride in his leadership team's alignment and described them as "incredibly well positioned" [3]. However, Goldman's famous "up or out" culture, demanding work expectations, and competitive internal dynamics create tension with psychological safety. The firm's 47,400 employees operate in a meritocratic but often stressful environment that Sinek would view as adequate but not high-trust.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Goldman Sachs operates in a competitive landscape with JPMorgan Chase, Morgan Stanley, and other global banks. Solomon's public commentary focuses on self-improvement and competitive positioning rather than destroying rivals. The firm's strategic decisions — pivoting to asset management, investing in technology, building transaction banking — reflect a focus on strengthening its own capabilities rather than a zero-sum competitive mindset [1][3].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Goldman demonstrated meaningful strategic flexibility in exiting consumer banking (Marcus) after investing billions, acknowledging the business did not fit the firm's institutional strengths [2]. The pivot to alternatives and asset management as growth engines represents significant strategic adaptation. However, these were incremental shifts within financial services rather than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Solomon showed strategic courage in exiting the Marcus consumer banking initiative despite billions in sunk costs, prioritizing long-term strategic fit over short-term pride. The B One Million Black Women commitment represents a significant long-term investment [4]. However, the firm's exit from the Net-Zero Banking Alliance under political pressure, and the pragmatic retreat from ESG commitments, suggest that courage has limits when external pressure is intense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Goldman Sachs is firing on all cylinders, delivering Q1 2026 net revenues of .2B (up 14% YoY) and its biggest-ever equities trading quarter, driving annualized ROE of 19.8% [1]. Full-year 2025 EPS of .32 represented a 27% increase over 2024, demonstrating the earnings power of the refocused institutional franchise [1]. The firm's pivot away from consumer banking and toward alternatives, asset management, and transaction banking is generating measurable results. With a forward P/E of 17.2x on consensus estimates calling for continued earnings growth, Goldman is reasonably valued for a franchise business with dominant market positions in investment banking and trading. The \8/share annual dividend (1.72% yield) with a 24.4% 5-year dividend growth CAGR reflects strong capital return discipline.</w:t>
      </w:r>
    </w:p>
    <w:p>
      <w:pPr>
        <w:spacing w:after="120"/>
      </w:pPr>
      <w:r>
        <w:rPr>
          <w:rFonts w:ascii="Calibri" w:hAnsi="Calibri"/>
          <w:b w:val="0"/>
          <w:color w:val="3A4A28"/>
          <w:sz w:val="20"/>
        </w:rPr>
        <w:t>The key risk is Goldman's structural leverage — debt-to-equity of 596% is inherent to the business model but creates meaningful vulnerability to credit market stress, counterparty risk, or a severe downturn in capital markets activity. Revenue remains highly cyclical, with 5-year CAGR of only 5.5% masking significant year-to-year swings [5]. The firm's Q2 2026 earnings preview suggests revenue expectations of .22B, below Q1's .2B, highlighting this volatility [2]. Goldman's net profit margin of 14.1% is below the 20% target due to the inherently expense-heavy financial services model. The SEC's 2022 \M ESG enforcement action and the firm's exit from the Net-Zero Banking Alliance signal governance and reputational risks that could impact institutional investors increasingly focused on sustainability commitments [4]. AI will reshape portions of the business but significant impact is not expected until 2027-2028 per Solomon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capital markets recovery and potential M&amp;A cycle acceleration could drive investment banking fee revenue above 2021 cycle highs</w:t>
      </w:r>
    </w:p>
    <w:p>
      <w:pPr>
        <w:spacing w:before="40" w:after="40"/>
        <w:ind w:left="283"/>
      </w:pPr>
      <w:r>
        <w:rPr>
          <w:rFonts w:ascii="Calibri" w:hAnsi="Calibri"/>
          <w:b/>
          <w:color w:val="4A6B25"/>
          <w:sz w:val="20"/>
        </w:rPr>
        <w:t xml:space="preserve">2. </w:t>
      </w:r>
      <w:r>
        <w:rPr>
          <w:rFonts w:ascii="Calibri" w:hAnsi="Calibri"/>
          <w:b w:val="0"/>
          <w:color w:val="3A4A28"/>
          <w:sz w:val="20"/>
        </w:rPr>
        <w:t>Alternatives and asset management AUM growth providing higher-margin, more recurring revenue streams that reduce earnings cyclicality</w:t>
      </w:r>
    </w:p>
    <w:p>
      <w:pPr>
        <w:spacing w:before="40" w:after="40"/>
        <w:ind w:left="283"/>
      </w:pPr>
      <w:r>
        <w:rPr>
          <w:rFonts w:ascii="Calibri" w:hAnsi="Calibri"/>
          <w:b/>
          <w:color w:val="4A6B25"/>
          <w:sz w:val="20"/>
        </w:rPr>
        <w:t xml:space="preserve">3. </w:t>
      </w:r>
      <w:r>
        <w:rPr>
          <w:rFonts w:ascii="Calibri" w:hAnsi="Calibri"/>
          <w:b w:val="0"/>
          <w:color w:val="3A4A28"/>
          <w:sz w:val="20"/>
        </w:rPr>
        <w:t>AI deployment across trading, risk management, and advisory workflows beginning to generate measurable productivity gains in 2027-2028 as Solomon has projected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leverage of 596% debt-to-equity creates existential vulnerability to a severe credit event, counterparty default, or prolonged capital markets downturn</w:t>
      </w:r>
    </w:p>
    <w:p>
      <w:pPr>
        <w:spacing w:before="40" w:after="40"/>
        <w:ind w:left="283"/>
      </w:pPr>
      <w:r>
        <w:rPr>
          <w:rFonts w:ascii="Calibri" w:hAnsi="Calibri"/>
          <w:b/>
          <w:color w:val="4A6B25"/>
          <w:sz w:val="20"/>
        </w:rPr>
        <w:t xml:space="preserve">2. </w:t>
      </w:r>
      <w:r>
        <w:rPr>
          <w:rFonts w:ascii="Calibri" w:hAnsi="Calibri"/>
          <w:b w:val="0"/>
          <w:color w:val="3A4A28"/>
          <w:sz w:val="20"/>
        </w:rPr>
        <w:t>Revenue cyclicality (5.5% 5-year CAGR masking 25%+ year-over-year swings) makes earnings difficult to predict and creates valuation uncertainty</w:t>
      </w:r>
    </w:p>
    <w:p>
      <w:pPr>
        <w:spacing w:before="40" w:after="40"/>
        <w:ind w:left="283"/>
      </w:pPr>
      <w:r>
        <w:rPr>
          <w:rFonts w:ascii="Calibri" w:hAnsi="Calibri"/>
          <w:b/>
          <w:color w:val="4A6B25"/>
          <w:sz w:val="20"/>
        </w:rPr>
        <w:t xml:space="preserve">3. </w:t>
      </w:r>
      <w:r>
        <w:rPr>
          <w:rFonts w:ascii="Calibri" w:hAnsi="Calibri"/>
          <w:b w:val="0"/>
          <w:color w:val="3A4A28"/>
          <w:sz w:val="20"/>
        </w:rPr>
        <w:t>Regulatory and reputational risks from SEC ESG enforcement, Net-Zero Banking Alliance exit, and evolving financial regulations could increase compliance costs and constrain business activities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Goldman Sachs' core business lines — M&amp;A advisory, capital markets underwriting, institutional trading, and asset management — require deep client relationships, regulatory expertise, and fiduciary trust that AI cannot replicate [1][3]. Physical-world relationship banking, complex negotiation, and regulatory compliance create meaningful defensive moats. However, AI poses real substitution risk to portions of the business: equity research, financial analysis, due diligence documentation, and routine trading execution could see significant automation. CEO Solomon acknowledges AI will "reshape work" at the firm, identifying three dynamics: automation of routine tasks, higher performance standards within existing roles, and emergence of new AI-governance positions [3]. Goldman's research division and back-office operations are particularly exposed. AI Opportunity (1/1): Goldman is actively deploying AI tools across the firm for code generation, document analysis, client insights, and trading optimization. While specific AI revenue figures have not been disclosed, the firm's technology investment of approximately \B annually includes meaningful AI infrastructure and application development. Solomon projects more significant AI impact beginning in 2027-2028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Goldman Sachs Q1 2026 Earnings Release — EPS of .55 and Annualized ROE of 19.8%, goldmansachs.com, April 13, 2026</w:t>
      </w:r>
    </w:p>
    <w:p>
      <w:pPr>
        <w:spacing w:before="20" w:after="20"/>
        <w:ind w:left="170"/>
      </w:pPr>
      <w:r>
        <w:rPr>
          <w:rFonts w:ascii="Calibri" w:hAnsi="Calibri"/>
          <w:b/>
          <w:color w:val="4A6B25"/>
          <w:sz w:val="15"/>
        </w:rPr>
        <w:t xml:space="preserve">2. </w:t>
      </w:r>
      <w:r>
        <w:rPr>
          <w:rFonts w:ascii="Calibri" w:hAnsi="Calibri"/>
          <w:b w:val="0"/>
          <w:color w:val="3A4A28"/>
          <w:sz w:val="17"/>
        </w:rPr>
        <w:t>Goldman Sachs Q2 2026 Earnings Preview — Wall Street Eyes Strong Growth, CNBC/Blockonomi, July 2026</w:t>
      </w:r>
    </w:p>
    <w:p>
      <w:pPr>
        <w:spacing w:before="20" w:after="20"/>
        <w:ind w:left="170"/>
      </w:pPr>
      <w:r>
        <w:rPr>
          <w:rFonts w:ascii="Calibri" w:hAnsi="Calibri"/>
          <w:b/>
          <w:color w:val="4A6B25"/>
          <w:sz w:val="15"/>
        </w:rPr>
        <w:t xml:space="preserve">3. </w:t>
      </w:r>
      <w:r>
        <w:rPr>
          <w:rFonts w:ascii="Calibri" w:hAnsi="Calibri"/>
          <w:b w:val="0"/>
          <w:color w:val="3A4A28"/>
          <w:sz w:val="17"/>
        </w:rPr>
        <w:t>David Solomon on AI, Leadership, and Disruption — McKinsey, Fortune, Forbes, Davos 2026 coverage, January-May 2026</w:t>
      </w:r>
    </w:p>
    <w:p>
      <w:pPr>
        <w:spacing w:before="20" w:after="20"/>
        <w:ind w:left="170"/>
      </w:pPr>
      <w:r>
        <w:rPr>
          <w:rFonts w:ascii="Calibri" w:hAnsi="Calibri"/>
          <w:b/>
          <w:color w:val="4A6B25"/>
          <w:sz w:val="15"/>
        </w:rPr>
        <w:t xml:space="preserve">4. </w:t>
      </w:r>
      <w:r>
        <w:rPr>
          <w:rFonts w:ascii="Calibri" w:hAnsi="Calibri"/>
          <w:b w:val="0"/>
          <w:color w:val="3A4A28"/>
          <w:sz w:val="17"/>
        </w:rPr>
        <w:t>Goldman Sachs ESG Controversies — Net-Zero Banking Alliance Exit (ESG Dive), SEC ESG Enforcement (2022), Shareholder Proposals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GS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