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GTX</w:t>
      </w:r>
      <w:r>
        <w:rPr>
          <w:rFonts w:ascii="Calibri" w:hAnsi="Calibri"/>
          <w:b/>
          <w:color w:val="1A2010"/>
          <w:sz w:val="40"/>
        </w:rPr>
        <w:t xml:space="preserve">  Garrett Motion Inc.</w:t>
      </w:r>
    </w:p>
    <w:p>
      <w:pPr>
        <w:spacing w:after="120"/>
      </w:pPr>
      <w:r>
        <w:rPr>
          <w:rFonts w:ascii="Calibri" w:hAnsi="Calibri"/>
          <w:b/>
          <w:color w:val="6E8450"/>
          <w:sz w:val="18"/>
        </w:rPr>
        <w:t>GROWTH SLEEVE · 2026-07-14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Parts · NASDAQ · United States</w:t>
      </w:r>
    </w:p>
    <w:p>
      <w:pPr>
        <w:spacing w:after="80"/>
      </w:pPr>
      <w:r>
        <w:rPr>
          <w:rFonts w:ascii="Calibri" w:hAnsi="Calibri"/>
          <w:b w:val="0"/>
          <w:color w:val="3A4A28"/>
          <w:sz w:val="20"/>
        </w:rPr>
        <w:t>Garrett Motion Inc. is a global automotive and industrial technology company that designs, manufactures, and sells turbocharger and electric-boosting technologies for light vehicle, commercial vehicle, and industrial OEMs. Spun off from Honeywell in October 2018 and emerged from Chapter 11 bankruptcy in April 2021. Headquartered in Rolle, Switzerland, Garrett operates 6 R&amp;D centers and 13 manufacturing facilities across 20+ countries, with 60+ years of turbocharger technology leadership.</w:t>
      </w:r>
    </w:p>
    <w:p>
      <w:r>
        <w:rPr>
          <w:rFonts w:ascii="Calibri" w:hAnsi="Calibri"/>
          <w:b/>
          <w:color w:val="6E8450"/>
          <w:sz w:val="18"/>
        </w:rPr>
        <w:t>9,000 Employees · https://www.garrettmotion.com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Garrett has expanded from traditional turbochargers into e-turbo (electric boosting), e-powertrain (3-in-1 high-speed motor+inverter+reducer, 40% smaller than benchmarks), hydrogen fuel cell compressors, and e-cooling systems [1]. Revenue target of $1B non-turbo by 2030 and $2.5B by 2035. However, zero-emission products haven't generated significant revenue yet -- the transformation is in progress, not proven. AI Deployment (1/2): PTC partnership (November 2025) expanding Onshape CAD to include Codebeamer+ ALM and Windchill+ PLM for a unified AI-ready product development architecture. CEO Rabiller: 'Partnering with PTC enables us to unify our product development on an AI-ready architecture.' 50+ proprietary AI and simulation tools used internally [2]. Market Share (2/2): Global leader in automotive turbochargers with 60+ years of technology leadership. Q1 2026 demonstrated strength across all segments: gasoline +3%, diesel +3%, commercial vehicle/industrial +13%, aftermarket +10% constant currency [1]. Product Pipeline (2/2): E-Powertrain production award for 2027 SOP in China, E-Cooling compressor award from Tonfy for 2027 SOP, 2nd commercial vehicle e-powertrain award in China, and range-extended EV programs with European OEMs [1]. R&amp;D Intensity (1/1): R&amp;D at 4.2% of sales with 50%+ of R&amp;D budget allocated to zero-emission technologies, above auto parts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Garrett's stated mission is 'enabling the transportation industry to advance motion through unique, differentiated innovation' with emphasis on 'reducing emissions, enhancing energy efficiency, and supporting zero-emission vehicles' [2]. This is specific and connects the company's work to a larger purpose around clean transportation. However, the company is only 8 years old (post-Honeywell spin) and hasn't validated this purpose through multi-decade execution. Community Impact (0/2): 'Thousands of students and young engineers' engaged in STEM activities mentioned but no specific philanthropic programs or dollar amounts cited [3]. Employee Retention (0/2): Glassdoor 3.6/5 with CEO approval of 76%. Average, but 'toxic workplace environment' cited as the top negative review theme, and average management tenure data is not publicly available [2]. Insider Buying (0/2): Heavy insider selling by multiple executives in 2026 -- CEO Rabiller sold 430,000 shares for ~$5.8M in February, CFO Deason sold 110,000 shares in June, SVP Mabru sold 70,000 shares in May. All sells, zero buys across the leadership team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D/E and ROE excluded due to negative equity (-$781M, a legacy of the 2020 bankruptcy restructuring). Q1 2026 net sales of $985M (up 12% YoY reported, 6% constant currency) with adjusted EBIT margin expanding to 15.3% and adjusted FCF of $49M [1]. LTM revenue of $3.691B, net income of $343M, profit margin of 9.29%. ROIC of 42.9% demonstrates exceptional capital efficiency despite the negative equity base [5]. Forward P/E of 16.76 and forward PEG of 0.90 signal attractive valuation relative to growth. Net leverage of 1.92x with all debt maturing in 2032 and $772M available liquidity provide adequate financial flexibility [1]. Dividend yield of 1.02% ($0.32/year, initiated Q1 2025, raised 33% in December 2025) with buyback yield of 7.51% -- shares outstanding have decreased 44% since January 2023 from 333M to 187M [5]. Capital Markets Day targets: 5% revenue CAGR, &gt;$2B cumulative FCF through 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Garrett Motion is a financially disciplined industrial company executing well on capital allocation and shareholder returns, but lacks a deeply articulated Just Cause beyond profitability and technology leadership. The aggressive share buyback program (44% reduction since 2023), heavy insider selling, and focus on quarterly financial metrics suggest a predominantly finite game orientation. The zero-emission technology investment shows strategic foresight but is driven by market necessity rather than a transformative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'Advance motion through differentiated innovation' connects to emissions reduction and clean transportation, partially validated by the 50%+ R&amp;D allocation to zero-emission technologies and the $1B non-turbo revenue target by 2030 [1]. However, the company is only 8 years old (post-Honeywell spin, 5 years post-bankruptcy) and hasn't proven this cause through crisis or multi-decade consistency. The emphasis on shareholder returns (75% of FCF target) over cause advancement suggests financial optimization, not Just Cause pursuit.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Rabiller has led since the 2018 spin-off (7.7 years), providing leadership continuity through bankruptcy and emergence. CTO Craig Balis also dates from the spin-off. Board has 7 independent directors of 8 total [2]. However, Glassdoor's top negative theme is 'toxic workplace environment and poor leadership,' and CEO approval of 76% is moderate. The 9,000+ employee manufacturing workforce operates across 13 facilities in 20+ countries, making cultural consistency challenging.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BorgWarner is the primary direct competitor in turbocharging. No evidence found of Garrett framing competition in learning terms or explicitly acknowledging rivals' strengths as motivation for self-improvement. Capital Markets Day presentations focused on Garrett's own technology roadmap rather than competitive learning dynamics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Garrett is pivoting from pure turbochargers to include e-powertrain, fuel cell compressors, and e-cooling systems, targeting $1B non-turbo revenue by 2030 and $2.5B by 2035. Key partnerships with Trane Technologies (cooling), Yutong (battery storage), and Ingersoll Rand (air compression) extend beyond automotive [1]. The shift is significant but incremental, driven by EV transition necessity rather than a cause-led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50%+ of R&amp;D in zero-emission technologies while the core turbo business is profitable demonstrates forward thinking. Accepting the Capital Markets Day target of $1B non-turbo revenue by 2030 is ambitious [1]. However, the 75% FCF shareholder return target and aggressive buybacks (44% of shares since 2023) prioritize near-term financial engineering over long-term reinvestment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Garrett Motion delivered a breakout Q1 2026 with $985M net sales (up 12% YoY), adjusted EBIT margin expansion to 15.3%, and raised full-year guidance to $3.6-3.9B revenue and $300-360M net income [1]. The stock has surged 179% over 52 weeks as the market rerates the company's capital allocation discipline -- shares outstanding decreased 44% since January 2023 through the $250M annual buyback program, and a dividend was initiated in 2025 with a 33% raise in December [5]. Forward PEG of 0.90 on EPS growth of 22% YoY makes this one of the cheapest industrial stories in the market. The Capital Markets Day outlined $2B+ cumulative FCF through 2030 at 5% revenue CAGR, with the e-powertrain, fuel cell, and e-cooling pipeline targeting $1B non-turbo revenue by 2030 [1].</w:t>
      </w:r>
    </w:p>
    <w:p>
      <w:pPr>
        <w:spacing w:after="120"/>
      </w:pPr>
      <w:r>
        <w:rPr>
          <w:rFonts w:ascii="Calibri" w:hAnsi="Calibri"/>
          <w:b w:val="0"/>
          <w:color w:val="3A4A28"/>
          <w:sz w:val="20"/>
        </w:rPr>
        <w:t>The primary risk is the ICE-to-EV transition structurally reducing turbocharger demand -- while management expects turbo revenue in 2035 to exceed 2025, this thesis depends on slower-than-expected BEV adoption and strong hybrid/PHEV uptake [1]. Negative equity of -$781M (bankruptcy legacy) creates accounting distortions in D/E and ROE metrics, though net leverage of 1.92x and ROIC of 42.9% demonstrate actual financial health. Heavy insider selling across all senior executives in 2026 (CEO $5.8M, CFO $3.6M, SVP $2.3M -- zero buys) raises alignment concerns despite management's bullish guidance [4]. The stock's 179% 52-week gain and removal from the Russell 2000 Defensive Index increase vulnerability to mean reversion. Revenue growth of 3.1% YoY (FY2025) is modest outside the Q1 2026 spike, and the 5-year revenue CAGR of 3.4% reflects the mature auto parts industry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$3.6-3.9B revenue and $300-360M net income after strong Q1, with constant currency growth range widened to -2% to +6% reflecting commercial vehicle/industrial strength [1]</w:t>
      </w:r>
    </w:p>
    <w:p>
      <w:pPr>
        <w:spacing w:before="40" w:after="40"/>
        <w:ind w:left="283"/>
      </w:pPr>
      <w:r>
        <w:rPr>
          <w:rFonts w:ascii="Calibri" w:hAnsi="Calibri"/>
          <w:b/>
          <w:color w:val="4A6B25"/>
          <w:sz w:val="20"/>
        </w:rPr>
        <w:t xml:space="preserve">2. </w:t>
      </w:r>
      <w:r>
        <w:rPr>
          <w:rFonts w:ascii="Calibri" w:hAnsi="Calibri"/>
          <w:b w:val="0"/>
          <w:color w:val="3A4A28"/>
          <w:sz w:val="20"/>
        </w:rPr>
        <w:t>E-Powertrain production awards with 2027 SOP in China and European OEM variable nozzle turbine contracts positioning for zero-emission revenue acceleration toward the $1B 2030 target [1]</w:t>
      </w:r>
    </w:p>
    <w:p>
      <w:pPr>
        <w:spacing w:before="40" w:after="40"/>
        <w:ind w:left="283"/>
      </w:pPr>
      <w:r>
        <w:rPr>
          <w:rFonts w:ascii="Calibri" w:hAnsi="Calibri"/>
          <w:b/>
          <w:color w:val="4A6B25"/>
          <w:sz w:val="20"/>
        </w:rPr>
        <w:t xml:space="preserve">3. </w:t>
      </w:r>
      <w:r>
        <w:rPr>
          <w:rFonts w:ascii="Calibri" w:hAnsi="Calibri"/>
          <w:b w:val="0"/>
          <w:color w:val="3A4A28"/>
          <w:sz w:val="20"/>
        </w:rPr>
        <w:t>Continued aggressive buyback program ($250M for 2026) with 75% FCF return target, driving EPS growth through share count reduction on top of organic earnings improvement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Battery EV penetration accelerating beyond the ~19% guidance assumption would structurally reduce turbocharger demand, undermining the thesis that turbo revenue in 2035 exceeds 2025 [1]</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by CEO ($5.8M), CFO ($3.6M), and SVPs (combined $2.3M+) -- all sells, zero buys in 2026 -- despite 179% stock appreciation raises alignment questions at current valuation [4]</w:t>
      </w:r>
    </w:p>
    <w:p>
      <w:pPr>
        <w:spacing w:before="40" w:after="40"/>
        <w:ind w:left="283"/>
      </w:pPr>
      <w:r>
        <w:rPr>
          <w:rFonts w:ascii="Calibri" w:hAnsi="Calibri"/>
          <w:b/>
          <w:color w:val="4A6B25"/>
          <w:sz w:val="20"/>
        </w:rPr>
        <w:t xml:space="preserve">3. </w:t>
      </w:r>
      <w:r>
        <w:rPr>
          <w:rFonts w:ascii="Calibri" w:hAnsi="Calibri"/>
          <w:b w:val="0"/>
          <w:color w:val="3A4A28"/>
          <w:sz w:val="20"/>
        </w:rPr>
        <w:t>Negative equity of -$781M and removal from the Russell 2000 Defensive Index create structural barriers to index inclusion and passive fund inflows at a critical valuation re-rating moment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Garrett manufactures precision-engineered turbochargers and electric-boosting hardware for automotive and industrial OEMs -- physical products requiring decades of metallurgical expertise, manufacturing capability, and OEM qualification processes that AI structurally cannot replicate [1]. Supply chain relationships, production certifications (ISO 45001, ISO 50001, ISO 14001 across 100% of sites), and safety-critical automotive validation create deep structural moats [3]. The primary disruption risk is EV transition reducing ICE turbocharger demand, but this is electrification risk, not AI disruption, and Garrett is addressing it with zero-emission products. Management expects turbo revenue in 2035 to exceed 2025 levels as hybrid/PHEV adoption extends turbocharger relevance [1]. AI Opportunity (0/1): AI is used internally for simulation, product development, and supply chain optimization via o9 Solutions and PTC partnerships, but does not generate customer-facing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Garrett Motion Q1 2026 Earnings Release, Capital Markets Day Targets, and Raised FY2026 Guidance -- SEC 8-K Filing, May 2026; GuruFocus</w:t>
      </w:r>
    </w:p>
    <w:p>
      <w:pPr>
        <w:spacing w:before="20" w:after="20"/>
        <w:ind w:left="170"/>
      </w:pPr>
      <w:r>
        <w:rPr>
          <w:rFonts w:ascii="Calibri" w:hAnsi="Calibri"/>
          <w:b/>
          <w:color w:val="4A6B25"/>
          <w:sz w:val="15"/>
        </w:rPr>
        <w:t xml:space="preserve">2. </w:t>
      </w:r>
      <w:r>
        <w:rPr>
          <w:rFonts w:ascii="Calibri" w:hAnsi="Calibri"/>
          <w:b w:val="0"/>
          <w:color w:val="3A4A28"/>
          <w:sz w:val="17"/>
        </w:rPr>
        <w:t>Garrett Motion PTC Partnership, AI Strategy, Leadership Team, and Glassdoor Reviews -- Garrett Investor Relations, Glassdoor, November 2025-2026</w:t>
      </w:r>
    </w:p>
    <w:p>
      <w:pPr>
        <w:spacing w:before="20" w:after="20"/>
        <w:ind w:left="170"/>
      </w:pPr>
      <w:r>
        <w:rPr>
          <w:rFonts w:ascii="Calibri" w:hAnsi="Calibri"/>
          <w:b/>
          <w:color w:val="4A6B25"/>
          <w:sz w:val="15"/>
        </w:rPr>
        <w:t xml:space="preserve">3. </w:t>
      </w:r>
      <w:r>
        <w:rPr>
          <w:rFonts w:ascii="Calibri" w:hAnsi="Calibri"/>
          <w:b w:val="0"/>
          <w:color w:val="3A4A28"/>
          <w:sz w:val="17"/>
        </w:rPr>
        <w:t>Garrett Motion 2023 Sustainability Report, ISO Certifications, and STEM Programs -- garrettmotion.com, June 2024</w:t>
      </w:r>
    </w:p>
    <w:p>
      <w:pPr>
        <w:spacing w:before="20" w:after="20"/>
        <w:ind w:left="170"/>
      </w:pPr>
      <w:r>
        <w:rPr>
          <w:rFonts w:ascii="Calibri" w:hAnsi="Calibri"/>
          <w:b/>
          <w:color w:val="4A6B25"/>
          <w:sz w:val="15"/>
        </w:rPr>
        <w:t xml:space="preserve">4. </w:t>
      </w:r>
      <w:r>
        <w:rPr>
          <w:rFonts w:ascii="Calibri" w:hAnsi="Calibri"/>
          <w:b w:val="0"/>
          <w:color w:val="3A4A28"/>
          <w:sz w:val="17"/>
        </w:rPr>
        <w:t>Garrett Motion Insider Selling Activity -- DefenseWorld, GuruFocus, Stock Titan, February-June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MacroTrends, Robinhood -- GTX Key Statistics, Dividend History, and Share Count,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