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w:t>
      </w:r>
      <w:r>
        <w:rPr>
          <w:rFonts w:ascii="Calibri" w:hAnsi="Calibri"/>
          <w:b/>
          <w:color w:val="1A2010"/>
          <w:sz w:val="40"/>
        </w:rPr>
        <w:t xml:space="preserve">  The Goodyear Tire &amp; Rubber Company</w:t>
      </w:r>
    </w:p>
    <w:p>
      <w:pPr>
        <w:spacing w:after="120"/>
      </w:pPr>
      <w:r>
        <w:rPr>
          <w:rFonts w:ascii="Calibri" w:hAnsi="Calibri"/>
          <w:b/>
          <w:color w:val="6E8450"/>
          <w:sz w:val="18"/>
        </w:rPr>
        <w:t>GROWTH SLEEVE · 2026-08-22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NasdaqGS · United States</w:t>
      </w:r>
    </w:p>
    <w:p>
      <w:pPr>
        <w:spacing w:after="80"/>
      </w:pPr>
      <w:r>
        <w:rPr>
          <w:rFonts w:ascii="Calibri" w:hAnsi="Calibri"/>
          <w:b w:val="0"/>
          <w:color w:val="3A4A28"/>
          <w:sz w:val="20"/>
        </w:rPr>
        <w:t>The Goodyear Tire &amp; Rubber Company develops, manufactures, distributes, and sells tires and related products and services worldwide under the Goodyear, Cooper, Dunlop, Kelly, and Mastercraft brands. Founded in 1898 and headquartered in Akron, Ohio, Goodyear operates approximately 1,000 tire and auto service center outlets and is one of the world's largest tire companies. Q2 2026 net sales were $4.3B (-4.8% YoY) with a net loss of $204M ($0.71/share), an improvement from Q1's $246M loss. The company is executing the Goodyear Forward transformation plan under CEO Mark Stewart (joined January 2024 from Stellantis), including closing the Fayetteville, NC facility expected to generate $90M in savings by 2027 and $270M annually from 2028.</w:t>
      </w:r>
    </w:p>
    <w:p>
      <w:r>
        <w:rPr>
          <w:rFonts w:ascii="Calibri" w:hAnsi="Calibri"/>
          <w:b/>
          <w:color w:val="6E8450"/>
          <w:sz w:val="18"/>
        </w:rPr>
        <w:t>63,000 Employees · https://www.goodyear.com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Mark Stewart's Goodyear Forward transformation plan is delivering incremental benefits — $107M in Q1 2026 restructuring savings — but the program is defensive restructuring, not product innovation [1]. The Cooper Tire acquisition integration is complete, adding brand breadth. Revenue continues to decline (-4.8% in Q2 2026), and no transformative new products or business model innovations have emerged. AI Deployment (1/2): CTO Chris Helsel is driving AI/ML adoption in manufacturing simulation and performance testing, with a named CDO (Mamatha Chamarthi) leading digital transformation [2]. However, these are internal process improvements, not customer-facing AI products or quantified revenue/savings contributions. Market Share (1/2): Goodyear has achieved 9 consecutive quarters of OE market share gains in EMEA and a 2-point OE share increase in the Americas [1]. The multi-brand portfolio provides breadth across premium and value segments, but tires remain a commoditized market with intense price competition from low-cost Asian imports. Product Pipeline (1/2): EV-specific tire development and the goal to produce a 100% sustainable-materials tire by 2030 show forward thinking [3], but timelines are vague and commercialization impact is uncertain. No specific next-gen products with named launch dates and revenue visibility. R&amp;D Intensity (0/1): R&amp;D spending is typical for the auto parts industry with no evidence of outsized investment relative to peers like Michelin or Bridgestone.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Goodyear's purpose centers on enabling mobility — a functional mission that connects to transportation and progress but lacks the distinctive, emotionally resonant quality of top-tier purpose statements [3]. The 128-year heritage provides brand equity, but the mission does not clearly differentiate Goodyear from any other tire manufacturer. CEO Stewart's stated philosophy that 'innovation is a culture because innovation by definition is about iterating and trying and failing' shows thought leadership but is not yet embedded institutionally [2]. Community Impact (1/2): The 'Goodyear Better Future' sustainability framework includes meaningful commitments — 100% sustainable materials tire by 2030, petroleum-derived oil replacement by 2040, and a Sustainalytics ESG Risk score of 15 [3]. These are genuine but incremental relative to a 63,000-employee global manufacturer. Employee Retention (0/2): With 63,000 employees undergoing significant restructuring under a CEO who joined January 2024, the organization is in cultural transition. Plant closures (Fayetteville, NC facility shutdown announced) and workforce reductions create uncertainty, and no public retention or engagement data suggests strong morale [1]. Insider Buying (0/2): No notable net insider buying was identified. Insider ownership stands at approximately 4% but no executive purchases at depressed prices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Goodyear's financial profile reflects a company in distress with improving trajectory: Q2 2026 revenue of $4.3B declined 4.8% YoY (improving from Q1's -8.8%), and the net loss narrowed to $204M from Q1's $246M [1]. D/E of approximately 253% remains severely elevated with approximately $8B total debt [4]. ROE and profit margin remain deeply negative on a trailing basis due to ongoing restructuring costs and volume headwinds, scoring 0 on both metrics. The bright spots are valuation: Forward P/E of 4.57 and PEG of 0.43 score maximally, suggesting the market prices in either significant recovery or continued distress — forward estimates imply a return to profitability if the Goodyear Forward plan delivers [4]. The Fayetteville plant closure is expected to add $90M in Americas operating income by 2027 and $270M annually from 2028, providing a clear path to margin recovery. Tariff headwinds of $32M impacted Q2. Liquidity floor easily cleared with substantial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Goodyear under CEO Mark Stewart is operating in survival mode — the Goodyear Forward plan is focused on plant closures, cost cuts, and near-term financial stabilization rather than building toward a compelling long-term vision. The 128-year-old company has the heritage of an infinite player, but current strategic decisions are driven by quarterly financial necessity and balance sheet repair. The Fayetteville facility closure and workforce reductions signal finite-game thinking — necessary for survival but corrosive to organizational trust. Leadership turnover and the absence of a purpose beyond operational restructuring confirm a predominantly finite mindset.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Goodyear has operated since 1898 demonstrating institutional longevity, but does not currently articulate a compelling Just Cause [2][3]. 'Enabling mobility that advances progress' is generic and does not guide strategic trade-offs. CEO Stewart's narrative is framed primarily in financial terms — cost savings, portfolio optimization, margin improvement — rather than advancing a vision of a better future. The sustainability commitment (100% sustainable materials by 2030) comes closest to a cause but reads as corporate responsibility rather than an animating purpose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Goodyear is undergoing significant organizational upheaval. CEO Stewart joined January 2024 from Stellantis, bringing outsider perspective but also leadership discontinuity [2]. The Goodyear Forward plan involves the Fayetteville plant closure, workforce reductions, and portfolio rationalization — necessary actions but inherently trust-eroding for a 63,000-person workforce [1]. Stewart's stated belief that innovation requires eliminating 'fear in the air' is aspirational but contradicts the reality of ongoing layoffs and facility shutdowns. No evidence of investments in trust-building or exceptional employee engagement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Stewart has referenced competitive dynamics and the need for transformation, but Goodyear's competitive posture is primarily defensive — protecting market share through cost reduction and OE relationship gains rather than learning from rivals [2]. No evidence from management of acknowledging Michelin's sustainability leadership, Bridgestone's technology investments, or Continental's digital capabilities as worthy rivals whose strengths reveal Goodyear's own improvement areas.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Goodyear is making incremental pivots — developing EV-specific tires, pursuing 100% sustainable materials by 2030, and planning to replace all petroleum-derived oils by 2040 [3]. The Cooper Tire acquisition added brand portfolio breadth across premium and value segments. However, these are evolutionary adaptations within the existing tire business, not transformative leaps. The financial constraints of approximately $8B in debt severely limit the company's ability to make bold strategic bets, and Stewart's transformation is about operational efficiency rather than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Stewart is undertaking painful but necessary decisions — the Fayetteville plant closure ($90M savings by 2027, $270M annually from 2028), workforce reductions, and portfolio rationalization [1]. Q1 2026 delivered $107M in Goodyear Forward benefits. These actions require political courage within the organization. However, they are driven by financial necessity (negative ROE, mounting losses, $8B debt) rather than courageous long-term bets on future growth — this is crisis management, not visionary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Goodyear presents a deep-value turnaround opportunity at 0.43x PEG and 4.57x forward earnings, pricing in substantial pessimism about whether the Goodyear Forward transformation can restore profitability [4]. Q2 2026 showed improving trends versus Q1: revenue decline narrowed to -4.8% from -8.8%, and net loss improved to $204M from $246M, with unit volumes down only 4% versus Q1's -11.6% [1]. The Fayetteville plant closure will generate $90M in Americas operating income improvement by 2027 and $270M annually from 2028, providing a clear earnings bridge. OE market share continues to expand — 9 consecutive quarters of gains in EMEA and 2-point increase in the Americas. The multi-brand portfolio (Goodyear, Cooper, Dunlop, Kelly, Mastercraft) provides coverage across premium and value segments, and the 128-year brand heritage carries enduring consumer trust in a safety-critical category. If Stewart stabilizes margins and begins reducing the approximately $8B debt load, the stock at $6.18 offers asymmetric upside from trough valuations. The Inspire Impact Score of 47 (ALIGNED) with no negative attributions is a positive for faith-based investors [3].</w:t>
      </w:r>
    </w:p>
    <w:p>
      <w:pPr>
        <w:spacing w:after="120"/>
      </w:pPr>
      <w:r>
        <w:rPr>
          <w:rFonts w:ascii="Calibri" w:hAnsi="Calibri"/>
          <w:b w:val="0"/>
          <w:color w:val="3A4A28"/>
          <w:sz w:val="20"/>
        </w:rPr>
        <w:t>The bear case remains formidable and centers on balance sheet stress and persistent losses. Goodyear carries approximately $8B in debt against a roughly $1.8B market cap — D/E of 253% leaves virtually no margin for error, and any sustained operating deterioration could trigger a liquidity crisis [4]. Q2 2026 net loss of $204M ($0.71/share) marks another quarter of GAAP losses, with tariff headwinds of $32M adding a new cost pressure [1]. Replacement tire volumes remain under pressure (down 4% in Q2), driven by weak consumer demand in the Americas and EMEA and aggressive competition from lower-cost Asian manufacturers. The trailing ROE of approximately -30% and negative profit margins confirm the company is deep in loss territory. The Goodyear Forward plan must deliver flawlessly on plant closure savings and cost restructuring just to reach breakeven — any macroeconomic deterioration, further tariff escalation, or raw material spikes could extend the timeline to profitability beyond investor patience. The dividend remains suspended with no reinstatement timeline, removing an income floor for value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Fayetteville, NC facility closure expected to generate $90M in Americas operating income improvement by 2027 and $270M annually from 2028, providing a tangible bridge to profitability beyond incremental Goodyear Forward savings [1]</w:t>
      </w:r>
    </w:p>
    <w:p>
      <w:pPr>
        <w:spacing w:before="40" w:after="40"/>
        <w:ind w:left="283"/>
      </w:pPr>
      <w:r>
        <w:rPr>
          <w:rFonts w:ascii="Calibri" w:hAnsi="Calibri"/>
          <w:b/>
          <w:color w:val="4A6B25"/>
          <w:sz w:val="20"/>
        </w:rPr>
        <w:t xml:space="preserve">2. </w:t>
      </w:r>
      <w:r>
        <w:rPr>
          <w:rFonts w:ascii="Calibri" w:hAnsi="Calibri"/>
          <w:b w:val="0"/>
          <w:color w:val="3A4A28"/>
          <w:sz w:val="20"/>
        </w:rPr>
        <w:t>Improving sequential trends — Q2 2026 revenue decline narrowed to -4.8% from Q1's -8.8% and net loss improved to $204M from $246M, suggesting the worst of the volume downturn may be stabilizing [1]</w:t>
      </w:r>
    </w:p>
    <w:p>
      <w:pPr>
        <w:spacing w:before="40" w:after="40"/>
        <w:ind w:left="283"/>
      </w:pPr>
      <w:r>
        <w:rPr>
          <w:rFonts w:ascii="Calibri" w:hAnsi="Calibri"/>
          <w:b/>
          <w:color w:val="4A6B25"/>
          <w:sz w:val="20"/>
        </w:rPr>
        <w:t xml:space="preserve">3. </w:t>
      </w:r>
      <w:r>
        <w:rPr>
          <w:rFonts w:ascii="Calibri" w:hAnsi="Calibri"/>
          <w:b w:val="0"/>
          <w:color w:val="3A4A28"/>
          <w:sz w:val="20"/>
        </w:rPr>
        <w:t>Continued OE market share gains (9 consecutive quarters in EMEA, 2-point Americas increase) positioning Goodyear for aftermarket volume growth as these vehicles enter the replacement cycle over the next 3-5 years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with approximately $8B debt and 253% D/E ratio leaves no margin for error — any delay in Goodyear Forward cost savings, demand deterioration, or rising interest rates could trigger covenant concerns or dilutive capital raise [4]</w:t>
      </w:r>
    </w:p>
    <w:p>
      <w:pPr>
        <w:spacing w:before="40" w:after="40"/>
        <w:ind w:left="283"/>
      </w:pPr>
      <w:r>
        <w:rPr>
          <w:rFonts w:ascii="Calibri" w:hAnsi="Calibri"/>
          <w:b/>
          <w:color w:val="4A6B25"/>
          <w:sz w:val="20"/>
        </w:rPr>
        <w:t xml:space="preserve">2. </w:t>
      </w:r>
      <w:r>
        <w:rPr>
          <w:rFonts w:ascii="Calibri" w:hAnsi="Calibri"/>
          <w:b w:val="0"/>
          <w:color w:val="3A4A28"/>
          <w:sz w:val="20"/>
        </w:rPr>
        <w:t>Continued GAAP losses ($204M in Q2, $246M in Q1) with tariff headwinds of $32M adding new cost pressure and replacement tire volumes still declining — the path to profitability requires flawless execution on restructuring while defending market share [1]</w:t>
      </w:r>
    </w:p>
    <w:p>
      <w:pPr>
        <w:spacing w:before="40" w:after="40"/>
        <w:ind w:left="283"/>
      </w:pPr>
      <w:r>
        <w:rPr>
          <w:rFonts w:ascii="Calibri" w:hAnsi="Calibri"/>
          <w:b/>
          <w:color w:val="4A6B25"/>
          <w:sz w:val="20"/>
        </w:rPr>
        <w:t xml:space="preserve">3. </w:t>
      </w:r>
      <w:r>
        <w:rPr>
          <w:rFonts w:ascii="Calibri" w:hAnsi="Calibri"/>
          <w:b w:val="0"/>
          <w:color w:val="3A4A28"/>
          <w:sz w:val="20"/>
        </w:rPr>
        <w:t>Structural demand risks from Chinese tire manufacturer expansion into Western markets, autonomous vehicles potentially reducing individual car ownership, and consumer trade-down to lower-cost alternatives in a softening macroeconomic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Goodyear's core business is deeply protected from AI disruption — tire manufacturing is a physical, capital-intensive process requiring specialized rubber compounding, materials science expertise, and global factory infrastructure that AI cannot replicate or substitute [2]. The replacement tire market depends on vehicle wear patterns, not digital alternatives, and brand trust matters for safety-critical products. However, structural shifts enabled by AI present moderate exposure: autonomous vehicles could reduce individual car ownership over time, shared mobility platforms may extend tire life through optimized routing, and EV adoption is changing tire wear patterns and specifications. AI also empowers lower-cost competitors with equal access to manufacturing optimization tools, potentially eroding process advantages. AI Opportunity (0/1): While CTO Helsel and CDO Chamarthi are deploying AI/ML in manufacturing simulation and digital transformation [2], these are cost-reduction tools, not revenue generators. No AI-driven products, services, or meaningful AI revenue contribution exists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Goodyear Q2 2026 Earnings Release — $4.3B revenue (-4.8% YoY), Net loss $204M ($0.71/share), Volumes -4%, $32M tariff headwind, Fayetteville closure ($90M savings 2027, $270M from 2028), August 2026</w:t>
      </w:r>
    </w:p>
    <w:p>
      <w:pPr>
        <w:spacing w:before="20" w:after="20"/>
        <w:ind w:left="170"/>
      </w:pPr>
      <w:r>
        <w:rPr>
          <w:rFonts w:ascii="Calibri" w:hAnsi="Calibri"/>
          <w:b/>
          <w:color w:val="4A6B25"/>
          <w:sz w:val="15"/>
        </w:rPr>
        <w:t xml:space="preserve">2. </w:t>
      </w:r>
      <w:r>
        <w:rPr>
          <w:rFonts w:ascii="Calibri" w:hAnsi="Calibri"/>
          <w:b w:val="0"/>
          <w:color w:val="3A4A28"/>
          <w:sz w:val="17"/>
        </w:rPr>
        <w:t>Mark Stewart CEO Leadership and AI/Digital Strategy — Innovation culture, CTO Chris Helsel AI/ML adoption, CDO Mamatha Chamarthi, Goodyear Forward transformation — CNBC, Tire Review, corporate.goodyear.com, 2024-2026</w:t>
      </w:r>
    </w:p>
    <w:p>
      <w:pPr>
        <w:spacing w:before="20" w:after="20"/>
        <w:ind w:left="170"/>
      </w:pPr>
      <w:r>
        <w:rPr>
          <w:rFonts w:ascii="Calibri" w:hAnsi="Calibri"/>
          <w:b/>
          <w:color w:val="4A6B25"/>
          <w:sz w:val="15"/>
        </w:rPr>
        <w:t xml:space="preserve">3. </w:t>
      </w:r>
      <w:r>
        <w:rPr>
          <w:rFonts w:ascii="Calibri" w:hAnsi="Calibri"/>
          <w:b w:val="0"/>
          <w:color w:val="3A4A28"/>
          <w:sz w:val="17"/>
        </w:rPr>
        <w:t>Goodyear Better Future Sustainability Framework — 100% sustainable materials tire by 2030, petroleum-derived oil replacement by 2040, Sustainalytics ESG Risk score 15, Corporate Responsibility Reports,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Morningstar — GT Key Statistics: Forward P/E 4.57x, PEG 0.43, D/E ~253%, Stock Price $6.18,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