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HAL</w:t>
      </w:r>
      <w:r>
        <w:rPr>
          <w:rFonts w:ascii="Calibri" w:hAnsi="Calibri"/>
          <w:b/>
          <w:color w:val="1A2010"/>
          <w:sz w:val="40"/>
        </w:rPr>
        <w:t xml:space="preserve">  Halliburton Company</w:t>
      </w:r>
    </w:p>
    <w:p>
      <w:pPr>
        <w:spacing w:after="120"/>
      </w:pPr>
      <w:r>
        <w:rPr>
          <w:rFonts w:ascii="Calibri" w:hAnsi="Calibri"/>
          <w:b/>
          <w:color w:val="6E8450"/>
          <w:sz w:val="18"/>
        </w:rPr>
        <w:t>DIVIDEND SLEEVE · 2026-08-13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Halliburton is one of the world's largest oilfield services companies, providing products and services for drilling, evaluation, completion, production, and reservoir optimization across the global energy industry. Led by CEO Jeff Miller since 2014, the company operates in over 70 countries with approximately 48,000 employees. Q2 2026 revenue was $5.714B (+4% YoY) with international revenue of $3.4B — the highest second-quarter international revenue in over a decade. TTM revenue is approximately $22.2B.</w:t>
      </w:r>
    </w:p>
    <w:p>
      <w:r>
        <w:rPr>
          <w:rFonts w:ascii="Calibri" w:hAnsi="Calibri"/>
          <w:b/>
          <w:color w:val="6E8450"/>
          <w:sz w:val="18"/>
        </w:rPr>
        <w:t>48,000 Employees · https://www.halliburton.com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Halliburton has not executed a transformative business model pivot in the last 5 years but has incrementally expanded its digital portfolio with the iCruise intelligent rotary steerable system, ZEUS IQ fracturing platform, and LOGIX automation suite [1]. The company remains fundamentally the same oilfield services business it has been for decades, with no new revenue stream comparable to a business model transformation. AI Deployment (1/2): Halliburton is shipping AI-powered products to customers including DecisionSpace 365 for real-time reservoir management, Prodigi automated fracturing system, and a partnership with AIQ and ADNOC for the world's first AI-enabled drilling technology [2]. These are real products generating revenue, though AI-specific revenue is not separately disclosed. Market Share (1/2): Halliburton is the #2 global oilfield services company behind SLB, with meaningful market positions in North America completions and international drilling and evaluation. Q2 2026 international revenue of $3.4B (+6% YoY) represents the highest Q2 international revenue in over a decade, but the company is not gaining share in a category it defines [1]. Product Pipeline (1/2): General next-generation technology development in drilling automation and digital solutions, but specific product launches with named timelines and revenue visibility are not publicly disclosed beyond current offerings [2]. R&amp;D Intensity (0/1): Halliburton's R&amp;D spending as a percentage of revenue (~1.5%) is below the industry average for technology-driven companies, reflecting its operational services model rather than a technology-first approach.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Halliburton's stated purpose is 'creating sustainable value by driving innovation, efficiency, and sustainability to maximize asset value of the global energy industry' — clear about what the company does but not distinctive or inspiring beyond the obvious [2]. The mission could apply to any oilfield services peer and does not articulate a deeper purpose beyond serving the energy industry efficiently. Community Impact (1/2): Halliburton has integrated ESG metrics into executive compensation at 20% of annual incentive awards, covering greenhouse gas emissions and diversity, and the Board's Nominating and Corporate Governance Committee provides ESG oversight [3]. However, no distinctive charitable foundation, community investment programs, or specific dollar amounts for community impact were identified. Employee Retention (0/2): Glassdoor reviews reveal significant cultural concerns including descriptions of 'super toxic' management culture, 'no career progression, no work-life balance, bad leadership, and no clear vision' [2]. The company's own risk disclosures acknowledge intense competition for talent and high employee turnover as potential execution risks. Insider Buying (0/2): No evidence of meaningful net insider buying by Jeff Miller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Halliburton benefits from an attractive Forward P/E of 15.27x (scoring 1.0, well below the 20x target) and manageable D/E of 79% (0.96 score) [4]. The 5-year dividend growth CAGR of ~30% scores perfectly due to the rapid rebuild from the post-2016 cut base ($0.18/yr to $0.68/yr), and consecutive years paid of 8 contributes strongly at 2x weight [4]. Revenue growth metrics are modest — 4% YoY and ~8% 5yr CAGR — reflecting a maturing oilfield cycle. The primary drags are thin profit margin of 5.8% (0.29 score vs 20% target) and ROE of 12.27% (0.82 score vs 15% target), reflecting the low-margin nature of oilfield services [1]. Consecutive years of dividend growth is only 1, as the dividend has been flat at $0.17/qtr since 2024. Liquidity is ample: ~12.9M shares daily x $33.80 = ~$436M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Halliburton under Jeff Miller plays a predominantly finite game — the company is focused on quarterly earnings delivery, shareholder returns, and market share competition rather than advancing a Just Cause that transcends quarterly results. The corporate culture issues flagged in employee reviews suggest a low-trust environment that prioritizes results over people. While the company has demonstrated some strategic flexibility through digital transformation and AI adoption, these are incremental adaptations rather than transformative reinventions driven by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Halliburton's purpose statement — 'creating sustainable value by driving innovation, efficiency, and sustainability to maximize asset value of the global energy industry' — reads as corporate boilerplate interchangeable with any oilfield services peer [2]. Jeff Miller's earnings commentary consistently frames the company's mission around returns, capital discipline, and shareholder value rather than a vision of a better future. The purpose does not shape behavior in visible ways — strategic decisions appear driven by market conditions and financial returns rather than a guiding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on Glassdoor describe a 'super toxic' management culture with concerns about 'no career progression, no work-life balance, bad leadership, and no clear vision' [2]. The company's own risk disclosures acknowledge 'intense competition for skilled technology, engineering, and management talent' with 'high employee turnover' identified as a potential execution risk. Multiple reviews cite that advancement depends on personal relationships with managers rather than merit, suggesting a political rather than trust-based organizational culture. This is far from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Halliburton's competitive language is predominantly about winning contracts, gaining market share, and outperforming SLB and Baker Hughes. Jeff Miller's earnings commentary frames international growth in terms of 'winning' and market position rather than learning from competitors' strengths [1]. The company's competitive strategy appears focused on market dominance rather than self-improvement driven by respect for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Halliburton has evolved incrementally — expanding from pure oilfield services into digital and AI-powered services, building technology platforms like DecisionSpace 365, and applying its capabilities to new energy projects [2]. The digital transformation represents meaningful adaptation to industry shifts. However, the company has not fundamentally reinvented itself — it remains the same oilfield services company it was a decade ago, serving the same customers with enhanced versions of the same services.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Jeff Miller demonstrated discipline during the 2020 oil price collapse by reducing costs by $1B+ and maintaining the company's operational capability through the downturn rather than pursuing destructive short-term cuts [1]. The investment in digital and AI capabilities (DecisionSpace 365, Prodigi) during uncertain market conditions shows some willingness to prioritize long-term capability. However, the rapid dividend cut in 2016 and slow rebuild (token $0.045/qtr for 4+ years) suggests leadership prioritized financial self-preservation over maintaining stakeholder commitments.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Halliburton at 15.27x forward earnings offers value exposure to a recovering international oilfield services cycle — Q2 2026 revenue of $5.714B (+4% YoY) featured the highest second-quarter international revenue in over a decade at $3.4B (+6% YoY), with Drilling &amp; Evaluation growing 7% [1]. Free cash flow of $668M in Q2 provides capital return flexibility, supporting a 2.01% dividend yield and potential buybacks. The company's AI-powered digital platforms (DecisionSpace 365, Prodigi, ADNOC partnership) create service differentiation and margin expansion opportunities in an increasingly technology-driven oilfield services market [2]. D/E of 79% is manageable, and the forward valuation is undemanding relative to earnings power in a sustained energy capex environment.</w:t>
      </w:r>
    </w:p>
    <w:p>
      <w:pPr>
        <w:spacing w:after="120"/>
      </w:pPr>
      <w:r>
        <w:rPr>
          <w:rFonts w:ascii="Calibri" w:hAnsi="Calibri"/>
          <w:b w:val="0"/>
          <w:color w:val="3A4A28"/>
          <w:sz w:val="20"/>
        </w:rPr>
        <w:t>The bear case centers on cycle risk, thin margins, and organizational culture. Profit margin of 5.8% and ROE of 12.27% are structurally low for the oilfield services industry and leave minimal buffer in a downturn — North America revenue is already flat at $2.3B and any OPEC+ production increases or oil price weakness could compress margins further [1]. Revenue growth of only 4% YoY suggests the oilfield services super-cycle may be peaking after rapid recovery from 2020 lows. Glassdoor reviews describing 'super toxic' management culture and the company's own disclosures of high employee turnover risk signal organizational dysfunction that could impair execution and innovation [2]. The weak Infinite Game score (3/10) and generic corporate purpose suggest a company playing to win quarters rather than building enduring value. The 5-year dividend growth CAGR of ~30% is misleading — it reflects recovery from a near-zero post-cut base ($0.18/yr) rather than genuine dividend compounding, and the payout has been flat since 2024.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revenue growth acceleration — Q2 2026 international revenue of $3.4B (+6% YoY) was the highest Q2 international figure in over a decade, driven by Middle East and Latin America energy infrastructure investment, with potential upside from Saudi Arabia Vision 2030 and Gulf unconventional development [1]</w:t>
      </w:r>
    </w:p>
    <w:p>
      <w:pPr>
        <w:spacing w:before="40" w:after="40"/>
        <w:ind w:left="283"/>
      </w:pPr>
      <w:r>
        <w:rPr>
          <w:rFonts w:ascii="Calibri" w:hAnsi="Calibri"/>
          <w:b/>
          <w:color w:val="4A6B25"/>
          <w:sz w:val="20"/>
        </w:rPr>
        <w:t xml:space="preserve">2. </w:t>
      </w:r>
      <w:r>
        <w:rPr>
          <w:rFonts w:ascii="Calibri" w:hAnsi="Calibri"/>
          <w:b w:val="0"/>
          <w:color w:val="3A4A28"/>
          <w:sz w:val="20"/>
        </w:rPr>
        <w:t>AI and digital services margin expansion — DecisionSpace 365, Prodigi, and the ADNOC AI-enabled drilling partnership position Halliburton to command premium pricing in technology-differentiated oilfield services, with AI-driven efficiency gains improving operating leverage [2]</w:t>
      </w:r>
    </w:p>
    <w:p>
      <w:pPr>
        <w:spacing w:before="40" w:after="40"/>
        <w:ind w:left="283"/>
      </w:pPr>
      <w:r>
        <w:rPr>
          <w:rFonts w:ascii="Calibri" w:hAnsi="Calibri"/>
          <w:b/>
          <w:color w:val="4A6B25"/>
          <w:sz w:val="20"/>
        </w:rPr>
        <w:t xml:space="preserve">3. </w:t>
      </w:r>
      <w:r>
        <w:rPr>
          <w:rFonts w:ascii="Calibri" w:hAnsi="Calibri"/>
          <w:b w:val="0"/>
          <w:color w:val="3A4A28"/>
          <w:sz w:val="20"/>
        </w:rPr>
        <w:t>Free cash flow generation supporting capital returns — $668M Q2 2026 FCF provides flexibility for dividend growth, share buybacks, or debt reduction, with operating income of $778M (+14.6% sequentially) signaling improving profitability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volatility and OPEC+ production decisions — any increase in OPEC+ supply or global economic slowdown could reduce upstream capex budgets, particularly in the already-flat North America market ($2.3B Q2 revenue, unchanged YoY), compressing the thin 5.8% profit margin [1]</w:t>
      </w:r>
    </w:p>
    <w:p>
      <w:pPr>
        <w:spacing w:before="40" w:after="40"/>
        <w:ind w:left="283"/>
      </w:pPr>
      <w:r>
        <w:rPr>
          <w:rFonts w:ascii="Calibri" w:hAnsi="Calibri"/>
          <w:b/>
          <w:color w:val="4A6B25"/>
          <w:sz w:val="20"/>
        </w:rPr>
        <w:t xml:space="preserve">2. </w:t>
      </w:r>
      <w:r>
        <w:rPr>
          <w:rFonts w:ascii="Calibri" w:hAnsi="Calibri"/>
          <w:b w:val="0"/>
          <w:color w:val="3A4A28"/>
          <w:sz w:val="20"/>
        </w:rPr>
        <w:t>Toxic workplace culture and talent retention — Glassdoor reviews cite 'super toxic' management, merit-disconnected advancement, and poor work-life balance, while the company's own risk disclosures acknowledge high turnover as an execution risk in an increasingly AI-competitive labor market [2]</w:t>
      </w:r>
    </w:p>
    <w:p>
      <w:pPr>
        <w:spacing w:before="40" w:after="40"/>
        <w:ind w:left="283"/>
      </w:pPr>
      <w:r>
        <w:rPr>
          <w:rFonts w:ascii="Calibri" w:hAnsi="Calibri"/>
          <w:b/>
          <w:color w:val="4A6B25"/>
          <w:sz w:val="20"/>
        </w:rPr>
        <w:t xml:space="preserve">3. </w:t>
      </w:r>
      <w:r>
        <w:rPr>
          <w:rFonts w:ascii="Calibri" w:hAnsi="Calibri"/>
          <w:b w:val="0"/>
          <w:color w:val="3A4A28"/>
          <w:sz w:val="20"/>
        </w:rPr>
        <w:t>Oilfield services cycle maturation — TTM revenue of ~$22.2B is flat to slightly down from 2024 levels (~$22.9B), and the 4% quarterly growth rate is decelerating from the 39%+ YoY growth seen in 2022, suggesting diminishing returns from the post-COVID recovery cycle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Halliburton's core business involves physical-world operations — drilling wells, fracturing formations, deploying downhole equipment, and maintaining production infrastructure — that AI structurally cannot displace [1]. The company's value proposition requires boots-on-the-ground crews, heavy equipment, proprietary chemicals, and on-site engineering expertise across 70+ countries. AI is overwhelmingly an enabler for Halliburton rather than a threat, enhancing drilling precision (iCruise), optimizing fracturing operations (Prodigi), and improving reservoir management (DecisionSpace 365) [2]. Analysts do not flag AI as a substitution risk; rather, AI-driven efficiency is viewed as a competitive differentiator that commands premium pricing. Some exposure exists in engineering advisory and consulting services where AI automation could reduce headcount needs, but this represents a small fraction of revenue. AI Opportunity (1/1): Halliburton generates quantifiable AI-related revenue through its AI-powered product suite including DecisionSpace 365 (real-time reservoir management), Prodigi (automated fracturing), and the ADNOC AI-enabled drilling partnership — the world's first AI-enabled technology implementation in upstream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Halliburton Q2 2026 Earnings Release — Revenue $5.714B (+4% YoY), International Revenue $3.4B (+6%), EPS $0.64, Operating Income $778M, Free Cash Flow $668M, July 2026</w:t>
      </w:r>
    </w:p>
    <w:p>
      <w:pPr>
        <w:spacing w:before="20" w:after="20"/>
        <w:ind w:left="170"/>
      </w:pPr>
      <w:r>
        <w:rPr>
          <w:rFonts w:ascii="Calibri" w:hAnsi="Calibri"/>
          <w:b/>
          <w:color w:val="4A6B25"/>
          <w:sz w:val="15"/>
        </w:rPr>
        <w:t xml:space="preserve">2. </w:t>
      </w:r>
      <w:r>
        <w:rPr>
          <w:rFonts w:ascii="Calibri" w:hAnsi="Calibri"/>
          <w:b w:val="0"/>
          <w:color w:val="3A4A28"/>
          <w:sz w:val="17"/>
        </w:rPr>
        <w:t>Halliburton AI &amp; Digital Strategy, Culture, and Corporate Purpose — DecisionSpace 365, Prodigi, ADNOC AI Partnership, Glassdoor Employee Reviews, Corporate Website — halliburton.com, EnkiAI, 2025-2026</w:t>
      </w:r>
    </w:p>
    <w:p>
      <w:pPr>
        <w:spacing w:before="20" w:after="20"/>
        <w:ind w:left="170"/>
      </w:pPr>
      <w:r>
        <w:rPr>
          <w:rFonts w:ascii="Calibri" w:hAnsi="Calibri"/>
          <w:b/>
          <w:color w:val="4A6B25"/>
          <w:sz w:val="15"/>
        </w:rPr>
        <w:t xml:space="preserve">3. </w:t>
      </w:r>
      <w:r>
        <w:rPr>
          <w:rFonts w:ascii="Calibri" w:hAnsi="Calibri"/>
          <w:b w:val="0"/>
          <w:color w:val="3A4A28"/>
          <w:sz w:val="17"/>
        </w:rPr>
        <w:t>Halliburton ESG Governance — ESG Metrics in Compensation (20% of Incentive), Board ESG Oversight, Sustainalytics Moderate Controversy Rating (2) — SEC Filings, CSRHub,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Nasdaq, Finbox — HAL Key Statistics: Forward P/E 15.27x, ROE 12.27%, D/E 79%, Profit Margin 5.8%, Stock Price $33.80, Avg Volume 12.9M,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