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HBM</w:t>
      </w:r>
      <w:r>
        <w:rPr>
          <w:rFonts w:ascii="Calibri" w:hAnsi="Calibri"/>
          <w:b/>
          <w:color w:val="1A2010"/>
          <w:sz w:val="40"/>
        </w:rPr>
        <w:t xml:space="preserve">  Hudbay Minerals Inc.</w:t>
      </w:r>
    </w:p>
    <w:p>
      <w:pPr>
        <w:spacing w:after="120"/>
      </w:pPr>
      <w:r>
        <w:rPr>
          <w:rFonts w:ascii="Calibri" w:hAnsi="Calibri"/>
          <w:b/>
          <w:color w:val="6E8450"/>
          <w:sz w:val="18"/>
        </w:rPr>
        <w:t>GROWTH SLEEVE · 2026-08-24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Copper &amp; Base Metals Mining · NYSE · Canada</w:t>
      </w:r>
    </w:p>
    <w:p>
      <w:pPr>
        <w:spacing w:after="80"/>
      </w:pPr>
      <w:r>
        <w:rPr>
          <w:rFonts w:ascii="Calibri" w:hAnsi="Calibri"/>
          <w:b w:val="0"/>
          <w:color w:val="3A4A28"/>
          <w:sz w:val="20"/>
        </w:rPr>
        <w:t>Hudbay Minerals is a Toronto-headquartered, copper-focused integrated mining company with three long-life operating mines — Constancia (Peru), Snow Lake (Manitoba), and Copper Mountain (British Columbia) — plus a growth pipeline anchored by the fully permitted Copper World project in Arizona, the Mason project in Nevada, and the Llaguen project in Peru. Hudbay posted record Q1 2026 revenue of $757.3M and record trailing-twelve-month adjusted EBITDA of $1.3 billion, and guides copper production to grow 24% next year and 70% by decade-end as Copper World advances. Mitsubishi Corporation agreed to acquire a 30% interest in Copper World for $600 million, validating the project's long-term economics.</w:t>
      </w:r>
    </w:p>
    <w:p>
      <w:r>
        <w:rPr>
          <w:rFonts w:ascii="Calibri" w:hAnsi="Calibri"/>
          <w:b/>
          <w:color w:val="6E8450"/>
          <w:sz w:val="18"/>
        </w:rPr>
        <w:t>3,072 Employees · https://hudbayminerals.com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Hudbay delivered record Q1 2026 revenue ($757.3M) and record adjusted EBITDA ($421.9M), fully permitted the previously contentious Copper World project in Arizona, and secured a $600M capital validation from Mitsubishi Corporation for a 30% stake in that project — a combination of operational execution and strategic capital-raising that materially de-risked the company's growth pipeline [1][2]. AI Deployment (0/2): No evidence of internal AI-powered products or quantified AI-driven efficiency gains was found; this is a traditional physical mining operator. Market Share (1/2): Hudbay is a meaningful mid-tier copper producer with three long-life mines across three countries, but no evidence of category-leading or dominant share was found relative to major diversified miners. Product Pipeline (2/2): Management guided specific, dated production growth — copper output up 24% next year and 70% by decade-end — anchored by the fully permitted Copper World project plus the Mason (Nevada) and Llaguen (Peru) projects [1][3]. R&amp;D Intensity (0/1): No R&amp;D-as-percent-of-revenue data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Hudbay's stated purpose centers on generating long-term value through high-quality, long-life mines — standard mining-sector language that is materially undercut by an active lawsuit in Canadian courts alleging serious human rights violations, including violence, by security personnel at a former Hudbay subsidiary's operations in Guatemala, which is directly in tension with a genuine service-oriented purpose [4]. Community Impact (2/2): Hudbay signed new sustainable development agreements with six communities near its Constancia mine in 2023 and logged approximately 7,700 interactions with more than 3,000 local stakeholders that year, alongside a public target to cut GHG emissions 50% by 2030 — specific, quantified community investment [4]. Employee Retention (0/2): No turnover or tenure data was found; a former CEO's departing comment about a 'wonderful culture' is anecdotal and insufficient to score. Insider Buying (0/2): No net insider buying/selling data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(growth-stock weighting; PEG unavailable due to data limitations and excluded). Every scored metric clears its target and caps at the maximum: D/E of 20% is well inside the 70% target, ROE of 16.74% exceeds the 15% target, H1 2026 revenue growth of ~22.7% YoY ($1,388.6M vs. $1,131.3M) comfortably clears the 10% target, 4-year revenue CAGR (2021-2025, ~$1.50B to ~$2.2B) of roughly 10% meets the target, Forward P/E of 15.86 is inside the 20 target, and profit margin of 27.48% clears the 20% target [1][5]. This is a rare case of a stock scoring at or near the ceiling on every available core metric, reflecting genuinely strong, broad-based financial performance during a record earnings period. Liquidity is not a constraint: ~4.1M shares/day average volume at a $30.06 share price is roughly $123M in daily dollar volume, far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Hudbay shows genuine courage and long-term capital discipline — permitting the contentious Copper World project through to completion and securing a $600M Mitsubishi investment while continuing organic production growth. Community engagement near Constancia is concrete and well-documented. But an active Canadian lawsuit alleging serious human rights violations by security personnel at a former Guatemalan subsidiary is a significant, unresolved tension with any claim to a genuine Just Cause, and no evidence was found of a business-model reinvention or distinctive worthy-rival philosophy — placing the company in mixed, not infinite, territory.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Hudbay's framing around responsibly supplying copper for global electrification touches a resilient, service-oriented theme, but the active Guatemala human rights litigation against a former subsidiary directly contradicts the 'benefits others, not just the company' test Sinek applies, preventing this from scoring above a shallow cause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specific turnover, tenure, or internal-culture red flags were found beyond a former CEO's positive parting comment about company culture; absent concrete retention or empowerment data, this scores as adequate rather than exceptional.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Hudbay publicly framing competitors among major copper producers as worthy rivals or citing competitive dynamics as a driver of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Hudbay expanded beyond its historical Manitoba/Peru base into a new US jurisdiction (Arizona's Copper World, Nevada's Mason project) and brought in a major strategic partner (Mitsubishi), a real geographic and capital-structure evolution, but this is organic growth within the same core copper-mining business rather than a full model reinvention [1][3].</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Management persisted through the historically difficult, multi-year Copper World permitting process in Arizona to full permit approval, and secured a $600M capital commitment from Mitsubishi for a minority stake — evidence of sustained, costly, long-horizon investment in future production capacity (guided at +24% next year, +70% by decade-end) rather than short-term financial engineering [1][2][3].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Hudbay is a copper-focused miner firing on nearly every financial metric during a record earnings stretch — Q1 2026 revenue of $757.3M and record trailing-twelve-month adjusted EBITDA of $1.3 billion, with H1 2026 revenue up ~22.7% YoY to $1,388.6M on higher metal prices and volumes [1]. ROE of 16.74%, profit margin of 27.48%, D/E of just 20%, and a Forward P/E of 15.86 combine growth, profitability, and balance sheet strength that is rare among mid-tier miners. The fully permitted Copper World project in Arizona, validated by Mitsubishi's $600M investment for a 30% stake, underpins management's guidance for copper production to grow 24% next year and 70% by decade-end — positioning Hudbay squarely in the path of the AI/data-center-driven copper supply deficit that S&amp;P Global and industry analysts project will widen sharply from 2027 [2][6].</w:t>
      </w:r>
    </w:p>
    <w:p>
      <w:pPr>
        <w:spacing w:after="120"/>
      </w:pPr>
      <w:r>
        <w:rPr>
          <w:rFonts w:ascii="Calibri" w:hAnsi="Calibri"/>
          <w:b w:val="0"/>
          <w:color w:val="3A4A28"/>
          <w:sz w:val="20"/>
        </w:rPr>
        <w:t>The bear case is less about financial execution — which is currently excellent — and more about durability of purpose and jurisdictional/legal risk. An active Canadian lawsuit alleges serious human rights violations, including violence, by security personnel connected to a former Hudbay subsidiary's Guatemala operations, an unresolved legal and reputational overhang that also caps the Inspiration and Just Cause scores in this report [4]. Hudbay's growth increasingly depends on successful execution of Copper World in Arizona, a jurisdiction with a history of contentious permitting, and on sustained copper prices; any commodity price reversal would flow directly through to a company whose current strong margins are partly cyclical. The stock's 52-week price gain of +173.52% also means a meaningful re-rating has already occurred, raising the bar for continued outperformance.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Copper World ramp-up in Arizona following full permitting and the $600M Mitsubishi capital injection for a 30% stake, supporting management's guidance for copper production to grow 24% next year and 70% by decade-end [1][2][3]</w:t>
      </w:r>
    </w:p>
    <w:p>
      <w:pPr>
        <w:spacing w:before="40" w:after="40"/>
        <w:ind w:left="283"/>
      </w:pPr>
      <w:r>
        <w:rPr>
          <w:rFonts w:ascii="Calibri" w:hAnsi="Calibri"/>
          <w:b/>
          <w:color w:val="4A6B25"/>
          <w:sz w:val="20"/>
        </w:rPr>
        <w:t xml:space="preserve">2. </w:t>
      </w:r>
      <w:r>
        <w:rPr>
          <w:rFonts w:ascii="Calibri" w:hAnsi="Calibri"/>
          <w:b w:val="0"/>
          <w:color w:val="3A4A28"/>
          <w:sz w:val="20"/>
        </w:rPr>
        <w:t>Structural AI/data-center-driven copper demand, with S&amp;P Global-cited supply deficits projected to widen from 19,000 tonnes in 2027 to 766,000 tonnes by 2030, supporting sustained higher copper prices [6]</w:t>
      </w:r>
    </w:p>
    <w:p>
      <w:pPr>
        <w:spacing w:before="40" w:after="40"/>
        <w:ind w:left="283"/>
      </w:pPr>
      <w:r>
        <w:rPr>
          <w:rFonts w:ascii="Calibri" w:hAnsi="Calibri"/>
          <w:b/>
          <w:color w:val="4A6B25"/>
          <w:sz w:val="20"/>
        </w:rPr>
        <w:t xml:space="preserve">3. </w:t>
      </w:r>
      <w:r>
        <w:rPr>
          <w:rFonts w:ascii="Calibri" w:hAnsi="Calibri"/>
          <w:b w:val="0"/>
          <w:color w:val="3A4A28"/>
          <w:sz w:val="20"/>
        </w:rPr>
        <w:t>Continued execution on the Mason (Nevada) and Llaguen (Peru) growth projects, diversifying production beyond the three current operating mines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Active Canadian litigation alleging serious human rights violations by security personnel at a former Hudbay subsidiary's Guatemala operations — an unresolved legal and reputational risk with uncertain financial exposure [4]</w:t>
      </w:r>
    </w:p>
    <w:p>
      <w:pPr>
        <w:spacing w:before="40" w:after="40"/>
        <w:ind w:left="283"/>
      </w:pPr>
      <w:r>
        <w:rPr>
          <w:rFonts w:ascii="Calibri" w:hAnsi="Calibri"/>
          <w:b/>
          <w:color w:val="4A6B25"/>
          <w:sz w:val="20"/>
        </w:rPr>
        <w:t xml:space="preserve">2. </w:t>
      </w:r>
      <w:r>
        <w:rPr>
          <w:rFonts w:ascii="Calibri" w:hAnsi="Calibri"/>
          <w:b w:val="0"/>
          <w:color w:val="3A4A28"/>
          <w:sz w:val="20"/>
        </w:rPr>
        <w:t>Execution risk on Copper World in a jurisdiction (Arizona) with a history of contentious, multi-year permitting processes, where delays or cost overruns could push back the guided production growth [1][3]</w:t>
      </w:r>
    </w:p>
    <w:p>
      <w:pPr>
        <w:spacing w:before="40" w:after="40"/>
        <w:ind w:left="283"/>
      </w:pPr>
      <w:r>
        <w:rPr>
          <w:rFonts w:ascii="Calibri" w:hAnsi="Calibri"/>
          <w:b/>
          <w:color w:val="4A6B25"/>
          <w:sz w:val="20"/>
        </w:rPr>
        <w:t xml:space="preserve">3. </w:t>
      </w:r>
      <w:r>
        <w:rPr>
          <w:rFonts w:ascii="Calibri" w:hAnsi="Calibri"/>
          <w:b w:val="0"/>
          <w:color w:val="3A4A28"/>
          <w:sz w:val="20"/>
        </w:rPr>
        <w:t>Cyclical commodity price exposure — the current record profitability (27.48% margin) is partly a function of elevated copper, gold, and zinc prices, and a price reversal would compress the strong Infrastructure metrics driving this report's score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Copper mining is a physical-world extraction business that AI cannot substitute or disrupt, and copper is increasingly cited by S&amp;P Global and industry analysts as one of the most strategic metals of the AI era — data center buildout, grid expansion, and electrification are projected to push copper supply deficits from 19,000 tonnes in 2027 to 766,000 tonnes by 2030, meaning rising AI investment directly increases demand for Hudbay's core product rather than threatening it [6]. AI Opportunity (0/1): While Hudbay's copper is a critical AI-infrastructure input, the company does not itself generate AI-related product or service revenue, so no tiebreaker point is awarded under the strict definition.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Hudbay Announces Record First Quarter 2026 Results and Delivers Strong Second Quarter 2026 Results — Hudbay Minerals Press Releases, Investing.com, StockTitan, 2026</w:t>
      </w:r>
    </w:p>
    <w:p>
      <w:pPr>
        <w:spacing w:before="20" w:after="20"/>
        <w:ind w:left="170"/>
      </w:pPr>
      <w:r>
        <w:rPr>
          <w:rFonts w:ascii="Calibri" w:hAnsi="Calibri"/>
          <w:b/>
          <w:color w:val="4A6B25"/>
          <w:sz w:val="15"/>
        </w:rPr>
        <w:t xml:space="preserve">2. </w:t>
      </w:r>
      <w:r>
        <w:rPr>
          <w:rFonts w:ascii="Calibri" w:hAnsi="Calibri"/>
          <w:b w:val="0"/>
          <w:color w:val="3A4A28"/>
          <w:sz w:val="17"/>
        </w:rPr>
        <w:t>Mitsubishi Corporation to Acquire 30% Interest in Copper World for $600M — Mitsubishi Corporation News Release, August 2025</w:t>
      </w:r>
    </w:p>
    <w:p>
      <w:pPr>
        <w:spacing w:before="20" w:after="20"/>
        <w:ind w:left="170"/>
      </w:pPr>
      <w:r>
        <w:rPr>
          <w:rFonts w:ascii="Calibri" w:hAnsi="Calibri"/>
          <w:b/>
          <w:color w:val="4A6B25"/>
          <w:sz w:val="15"/>
        </w:rPr>
        <w:t xml:space="preserve">3. </w:t>
      </w:r>
      <w:r>
        <w:rPr>
          <w:rFonts w:ascii="Calibri" w:hAnsi="Calibri"/>
          <w:b w:val="0"/>
          <w:color w:val="3A4A28"/>
          <w:sz w:val="17"/>
        </w:rPr>
        <w:t>Hudbay Minerals Growth Pipeline (Copper World, Mason, Llaguen) and Copper Production Guidance — Hudbay Minerals Investor Materials, 2026</w:t>
      </w:r>
    </w:p>
    <w:p>
      <w:pPr>
        <w:spacing w:before="20" w:after="20"/>
        <w:ind w:left="170"/>
      </w:pPr>
      <w:r>
        <w:rPr>
          <w:rFonts w:ascii="Calibri" w:hAnsi="Calibri"/>
          <w:b/>
          <w:color w:val="4A6B25"/>
          <w:sz w:val="15"/>
        </w:rPr>
        <w:t xml:space="preserve">4. </w:t>
      </w:r>
      <w:r>
        <w:rPr>
          <w:rFonts w:ascii="Calibri" w:hAnsi="Calibri"/>
          <w:b w:val="0"/>
          <w:color w:val="3A4A28"/>
          <w:sz w:val="17"/>
        </w:rPr>
        <w:t>Hudbay Minerals Guatemala Human Rights Litigation and Constancia Community Sustainable Development Agreements — ESG Censible, Hudbay Sustainability Report, 2023-2026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HBM Key Statistics: Forward P/E 15.86, ROE 16.74%, Profit Margin 27.48%, D/E 20%, avg volume 4.08M,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Copper in the Age of AI: Challenges of Electrification — S&amp;P Global, Fastmarkets, MINING.com, 2025-2026</w:t>
      </w:r>
    </w:p>
    <w:p>
      <w:pPr>
        <w:spacing w:before="20" w:after="20"/>
        <w:ind w:left="170"/>
      </w:pPr>
      <w:r>
        <w:rPr>
          <w:rFonts w:ascii="Calibri" w:hAnsi="Calibri"/>
          <w:b/>
          <w:color w:val="4A6B25"/>
          <w:sz w:val="15"/>
        </w:rPr>
        <w:t xml:space="preserve">7. </w:t>
      </w:r>
      <w:r>
        <w:rPr>
          <w:rFonts w:ascii="Calibri" w:hAnsi="Calibri"/>
          <w:b w:val="0"/>
          <w:color w:val="3A4A28"/>
          <w:sz w:val="17"/>
        </w:rPr>
        <w:t>Hudbay Minerals Annual Revenue History 2021-2025 — WallStreetZen,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