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HCWC</w:t>
      </w:r>
      <w:r>
        <w:rPr>
          <w:rFonts w:ascii="Calibri" w:hAnsi="Calibri"/>
          <w:b/>
          <w:color w:val="1A2010"/>
          <w:sz w:val="40"/>
        </w:rPr>
        <w:t xml:space="preserve">  Healthy Choice Wellness Corp.</w:t>
      </w:r>
    </w:p>
    <w:p>
      <w:pPr>
        <w:spacing w:after="120"/>
      </w:pPr>
      <w:r>
        <w:rPr>
          <w:rFonts w:ascii="Calibri" w:hAnsi="Calibri"/>
          <w:b/>
          <w:color w:val="6E8450"/>
          <w:sz w:val="18"/>
        </w:rPr>
        <w:t>GROWTH SLEEVE · 2026-07-28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NYSE American · United States</w:t>
      </w:r>
    </w:p>
    <w:p>
      <w:pPr>
        <w:spacing w:after="80"/>
      </w:pPr>
      <w:r>
        <w:rPr>
          <w:rFonts w:ascii="Calibri" w:hAnsi="Calibri"/>
          <w:b w:val="0"/>
          <w:color w:val="3A4A28"/>
          <w:sz w:val="20"/>
        </w:rPr>
        <w:t>Healthy Choice Wellness Corp. operates natural and organic retail grocery stores across the United States through six brands: Ada's Natural Market, Paradise Health &amp; Nutrition, Mother Earth's Storehouse, Greens Natural Foods, Ellwood Thompson, and GreenAcres Market. The company also operates wellness centers offering IV vitamin therapy and sells supplements online through TheVitaminStore.com. Spun off from Healthier Choices Management Corp. in September 2024, HCWC is headquartered in Hollywood, Florida with 19 locations across six states.</w:t>
      </w:r>
    </w:p>
    <w:p>
      <w:r>
        <w:rPr>
          <w:rFonts w:ascii="Calibri" w:hAnsi="Calibri"/>
          <w:b/>
          <w:color w:val="6E8450"/>
          <w:sz w:val="18"/>
        </w:rPr>
        <w:t>430 Employees · https://hcwc.com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HCWC has grown revenue from $29M in 2022 to $78M in 2025 through a buy-and-build acquisition strategy, absorbing six distinct store brands (Ada's, Mother Earth's, Ellwood Thompson, GreenAcres Market) across six states [1][2]. This represents meaningful business expansion, but growth is entirely M&amp;A-driven with no product innovation, new retail formats, or organic business model transformation. AI Deployment (0/2): Management has announced plans to integrate AI for customer personalization and data-driven marketing, but no AI products have shipped and no measurable cost savings or revenue gains have been reported as of Q1 2026 [4]. Market Share (0/2): HCWC is a micro-cap operator with $78M in annual revenue competing against Whole Foods ($20B+), Sprouts Farmers Market ($7B+), Natural Grocers, and Trader Joe's — a negligible market share position with no evidence of share gains in any geography [2]. Product Pipeline (1/2): Management cites a 'rich pipeline of acquisition opportunities' to continue national expansion and plans to invest in merchandising, marketing, and food service operations in 2026 [4]. R&amp;D Intensity (0/1): No disclosed R&amp;D spending; the company is a grocery retailer without proprietary product or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HCWC's positioning around natural, organic, and community-focused wellness retail is clear and identifies a meaningful purpose — providing healthier food options and wellness services to underserved communities [1]. However, the mission is not distinctive from Sprouts, Natural Grocers, or any peer in the natural grocery space and hasn't been validated over decades (incorporated 2022, public 2024). Community Impact (1/2): Each acquired store brand — Ellwood Thompson (Richmond), Mother Earth's (Hudson Valley), GreenAcres Market (Kansas) — has established local community relationships spanning years before acquisition, serving as neighborhood wellness destinations with curated organic selections [1]. Employee Retention (0/2): No employee retention data, average tenure, or voluntary turnover metrics are publicly available for this 430-person company spread across 19 locations in six states. Insider Buying (0/2): No evidence of meaningful net insider buying by CEO Jeffrey Holman or other executives was identified in the last 12 months; the company's penny-stock valuation and micro-cap status make insider transaction data sparse.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2.51M shares at $0.18 per share yields daily dollar volume of approximately $452K, well below the $1M minimum threshold — Infrastructure score is automatically set to 0 [3]. Underlying metrics are also deeply weak: ROE of -201% reflects accelerating net losses ($6.9M loss on $76M TTM revenue), profit margin of -9.1% shows the company remains unprofitable despite four years of acquisition-driven growth, and D/E of ~233% indicates dangerous leverage for a grocery retailer [3]. The stock has declined 82% from its 52-week high of $0.98 to $0.18, and the $4.8M market cap against $78M revenue (0.06x P/S) reflects severe market skepticism about the viability of the growth-through-debt model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HCWC is a very young public company (listed September 2024) with no track record of enduring through market cycles or leadership transitions. The buy-and-build acquisition strategy is fundamentally a financial engineering play — consolidating for scale rather than advancing a Just Cause. CEO Holman's 18-year tenure provides continuity, but the company's strategic narrative centers on deal-making and revenue growth, not purpose-driven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HCWC articulates a purpose around making natural and organic food accessible to more communities, which has genuine social value [1]. However, the cause is shallow — it is interchangeable with any natural grocery peer (Sprouts, Natural Grocers, local co-ops) and has not shaped any strategic decision that sacrificed short-term gain. The company has existed as a public entity for less than two years, far too short to validate purpose through crisis. The dominant strategic narrative is acquisition-driven growth, not advancing a vision of a healthier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Jeffrey Holman's 18-year tenure (since 2008) provides meaningful leadership continuity, and the 430-employee base across 19 stores suggests adequate organizational stability [4]. The acquired store brands (Ellwood Thompson, Mother Earth's) had established team cultures before acquisition. However, rapid M&amp;A-driven growth across six brands in six states inherently creates cultural integration challenges, and no data on voluntary turnover, employee satisfaction, or post-acquisition retention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Management commentary focuses on acquisition pipeline and competitive positioning through scale, not on learning from the operational excellence of Sprouts ($7B revenue, 430+ stores), the supply chain mastery of Whole Foods/Amazon, or the focused execution of Natural Grocers [1][4]. Competitive language centers on growth and market consolidation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evolved from a single wellness concept under Healthier Choices Management Corp. to a multi-brand natural grocery roll-up with 19 locations, adding IV vitamin therapy, online supplement sales via TheVitaminStore.com, and six distinct store brands across six states [1]. The September 2024 spinoff from HCMC represented a meaningful strategic restructuring. These are incremental expansions of the same organic/wellness concept, not transformative reinvention, but they demonstrate adaptability.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near-term results for long-term capability. The acquisition-driven model — buying existing natural grocery stores with debt — is a financial strategy, not a principled bet on the future [1]. Persistent net losses (-$6.9M TTM) and high leverage (233% D/E) suggest financial constraints limit strategic choice. The company has not demonstrated willingness to walk away from misaligned opportunities or invest through uncertainty when the cost is real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Healthy Choice Wellness operates 19 natural and organic grocery stores across six states under six community-rooted brands, generating $78M in FY2025 revenue (up 12.7% YoY) with 39% gross margins [1][2]. The company trades at an extraordinarily depressed 0.06x price-to-sales ($4.8M market cap on $78M revenue), and CEO Holman's 18-year tenure provides strategic continuity as the company pursues additional acquisitions in 2026 [4]. The natural/organic grocery segment benefits from secular consumer health trends, and the fragmented independent market offers consolidation opportunities.</w:t>
      </w:r>
    </w:p>
    <w:p>
      <w:pPr>
        <w:spacing w:after="120"/>
      </w:pPr>
      <w:r>
        <w:rPr>
          <w:rFonts w:ascii="Calibri" w:hAnsi="Calibri"/>
          <w:b w:val="0"/>
          <w:color w:val="3A4A28"/>
          <w:sz w:val="20"/>
        </w:rPr>
        <w:t>The bear case is overwhelming. The stock fails the IOWN liquidity floor at ~$452K daily dollar volume, making it uninvestable for institutional capital [3]. The stock has plummeted 82% from its 52-week high of $0.98 to $0.18, reflecting market recognition that the acquisition model is destroying value — D/E of 233%, ROE of -201%, and profit margin of -9.1% indicate every acquisition adds revenue but deepens losses [3]. Operating cash flow is negligible relative to $78M revenue, and continued M&amp;A requires access to capital markets that a penny-stock micro-cap cannot reliably access. Competition from Whole Foods (Amazon), Sprouts Farmers Market, Trader Joe's, and conventional grocers expanding organic sections pressures margins in an already razor-thin industry. The company has no competitive moat, no proprietary technology, and no demonstrated path to profitability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accretive acquisitions in 2026 that improve same-store economics and demonstrate a credible path to positive operating income</w:t>
      </w:r>
    </w:p>
    <w:p>
      <w:pPr>
        <w:spacing w:before="40" w:after="40"/>
        <w:ind w:left="283"/>
      </w:pPr>
      <w:r>
        <w:rPr>
          <w:rFonts w:ascii="Calibri" w:hAnsi="Calibri"/>
          <w:b/>
          <w:color w:val="4A6B25"/>
          <w:sz w:val="20"/>
        </w:rPr>
        <w:t xml:space="preserve">2. </w:t>
      </w:r>
      <w:r>
        <w:rPr>
          <w:rFonts w:ascii="Calibri" w:hAnsi="Calibri"/>
          <w:b w:val="0"/>
          <w:color w:val="3A4A28"/>
          <w:sz w:val="20"/>
        </w:rPr>
        <w:t>Natural/organic grocery market growth driven by consumer health and wellness trends supporting same-store sales acceleration above the ~10% YoY rate achieved in Q1 2026 [2]</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above 39% through supply chain consolidation, private label development, and merchandising optimization across the 19-store footprint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net losses (-$6.9M TTM, -9.1% margin) with 233% D/E create existential balance sheet risk — inability to raise capital or secure credit could force store closures or bankruptcy [3]</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~$452K fails the IOWN liquidity floor, making the stock uninvestable for institutional portfolios and creating severe exit risk for any position [3]</w:t>
      </w:r>
    </w:p>
    <w:p>
      <w:pPr>
        <w:spacing w:before="40" w:after="40"/>
        <w:ind w:left="283"/>
      </w:pPr>
      <w:r>
        <w:rPr>
          <w:rFonts w:ascii="Calibri" w:hAnsi="Calibri"/>
          <w:b/>
          <w:color w:val="4A6B25"/>
          <w:sz w:val="20"/>
        </w:rPr>
        <w:t xml:space="preserve">3. </w:t>
      </w:r>
      <w:r>
        <w:rPr>
          <w:rFonts w:ascii="Calibri" w:hAnsi="Calibri"/>
          <w:b w:val="0"/>
          <w:color w:val="3A4A28"/>
          <w:sz w:val="20"/>
        </w:rPr>
        <w:t>Competition from Whole Foods (Amazon), Sprouts (430+ stores), Natural Grocers, and conventional grocers expanding organic offerings pressures margins and limits same-store sales growth in every geography HCWC operates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HCWC's core business — operating physical natural and organic grocery stores and wellness centers with IV vitamin therapy — is structurally immune to AI disruption [1]. Consumers visit these stores for fresh organic produce, specialty health foods, and in-person wellness services that AI cannot replicate or substitute. The natural grocery experience is built on trust, product curation, and community relationships requiring physical presence. Food handling, cold chain logistics, and regulatory compliance add further structural protection. AI-driven grocery delivery (Instacart, Amazon Fresh) creates marginal competitive pressure but does not eliminate the experiential local retail model. AI Opportunity (0/1): Management plans to use AI for customer personalization and data-driven marketing but generates no quantifiable AI-related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Healthy Choice Wellness Corp. Full-Year 2025 and Q4 Earnings Results — Record $78.2M revenue, 12.7% growth, 39% gross margins, March 2026</w:t>
      </w:r>
    </w:p>
    <w:p>
      <w:pPr>
        <w:spacing w:before="20" w:after="20"/>
        <w:ind w:left="170"/>
      </w:pPr>
      <w:r>
        <w:rPr>
          <w:rFonts w:ascii="Calibri" w:hAnsi="Calibri"/>
          <w:b/>
          <w:color w:val="4A6B25"/>
          <w:sz w:val="15"/>
        </w:rPr>
        <w:t xml:space="preserve">2. </w:t>
      </w:r>
      <w:r>
        <w:rPr>
          <w:rFonts w:ascii="Calibri" w:hAnsi="Calibri"/>
          <w:b w:val="0"/>
          <w:color w:val="3A4A28"/>
          <w:sz w:val="17"/>
        </w:rPr>
        <w:t>WallStreetZen — HCWC Revenue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HCWC Key Statistics and Market Data ($0.18, 2.51M avg volume),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StockTitan — HCWC Strategic Growth Initiatives, CEO Shareholder Updates, and AI Personalization Plans,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