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HESM</w:t>
      </w:r>
      <w:r>
        <w:rPr>
          <w:rFonts w:ascii="Calibri" w:hAnsi="Calibri"/>
          <w:b/>
          <w:color w:val="1A2010"/>
          <w:sz w:val="40"/>
        </w:rPr>
        <w:t xml:space="preserve">  Hess Midstream LP</w:t>
      </w:r>
    </w:p>
    <w:p>
      <w:pPr>
        <w:spacing w:after="120"/>
      </w:pPr>
      <w:r>
        <w:rPr>
          <w:rFonts w:ascii="Calibri" w:hAnsi="Calibri"/>
          <w:b/>
          <w:color w:val="6E8450"/>
          <w:sz w:val="18"/>
        </w:rPr>
        <w:t>DIVIDEND SLEEVE · 2026-07-29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Hess Midstream LP is a fee-based, growth-oriented midstream company that owns, operates, and develops midstream assets to provide services to Hess (now Chevron) and third-party customers. Assets include oil gathering, gas gathering and compression, gas processing, water handling, and storage and terminaling facilities primarily located in the Bakken and Three Forks Shale plays in North Dakota. Following the Hess-Chevron merger, Chevron beneficially owns approximately 37.8% of Hess Midstream.</w:t>
      </w:r>
    </w:p>
    <w:p>
      <w:r>
        <w:rPr>
          <w:rFonts w:ascii="Calibri" w:hAnsi="Calibri"/>
          <w:b/>
          <w:color w:val="6E8450"/>
          <w:sz w:val="18"/>
        </w:rPr>
        <w:t>https://www.hessmidstream.com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Hess Midstream completed its planned multiyear infrastructure buildout in the Bakken, adding gas processing and gathering capacity to support Chevron's Bakken production growth [1][2]. This represents significant capital execution but no business model transformation or new product categories — the company builds and operates pipelines, same as 5 years ago. AI Deployment (0/2): No AI-powered products or quantified AI-driven savings. The company's SEC filings flag AI adoption as a generic operational risk rather than an opportunity being actively pursued [4]. Market Share (1/2): Dominant midstream operator in the Bakken basin serving as the primary infrastructure provider for Chevron's Bakken production, though this is a captive relationship rather than competitive market share won in open competition. Product Pipeline (0/2): With the buildout complete, the company is pivoting to FCF generation with substantially lower future capital spending; no next-generation infrastructure projects or geographic expansion plans announced [1][2]. R&amp;D Intensity (0/1): Midstream pipeline companies do not conduct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Hess Midstream describes itself as a 'fee-based, growth-oriented midstream company' focused on providing services to Hess and third-party customers [4]. This is a purely operational description with no articulated purpose beyond moving hydrocarbons and distributing cash to unitholders, interchangeable with any midstream peer. Community &amp; Charitable Impact (0/2): The company emphasizes a 'safety culture of ownership' through frontline safety leadership training programs inherited from Hess Corporation [3], but no charitable programs, community investment, or foundation activity was identified. Employee Retention (0/2): No publicly available data on employee tenure, voluntary turnover, or workforce culture metrics. Insider Buying (0/2): Net insider selling of $1.43B in the last 12 months, including COO John Gatling selling 62,457 shares for $2.6M in August 2025 [5]. Zero insider buying reported.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Strong profitability with 22.64% net profit margin and 153.41% ROE driven by the MLP's thin equity base and fee-based revenue model [5]. Forward P/E of 13.43 is well below the 20 target, reflecting reasonable valuation for a stable cash flow business. Revenue grew 8.3% YoY from $1.50B in 2024 to $1.62B in 2025, with 5-year CAGR of approximately 7.7% [1][5]. The primary weaknesses are extreme leverage (D/E of 1006% reflecting $3.77B debt against minimal equity, typical for MLP structures but scoring 0 on this metric) and a GAAP payout ratio of 104.8% (common for MLPs where distributable cash flow exceeds GAAP net income due to non-cash depreciation) [5]. Consecutive years of distribution growth stands at 8, with approximately 10% annual distribution growth CAGR aligned with management's stated target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Hess Midstream is a textbook finite player. The company exists to distribute cash to unitholders and maximize near-term distributable cash flow. There is no Just Cause, no vision of a better future, and no evidence of strategic thinking beyond quarterly distribution coverage ratios. The leadership transition from Hess to Chevron-appointed management reinforces the company's role as a financial vehicle rather than a purpose-driven enterprise.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Hess Midstream's stated purpose is to provide midstream services and return capital to unitholders. There is no articulated vision of a better future, no mission beyond operational efficiency and cash distribution. The Hess-Chevron merger transition further reduces any sense of independent purpose — the company is increasingly a subsidiary cash-generating vehicle for Chevron's Bakken operations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emphasizes a 'safety culture of ownership' and continues to deliver Hess's frontline safety leadership training, empowering frontline leaders to be role models [3]. This suggests some degree of trust and empowerment at the operational level. However, the company's lean corporate structure and MLP governance model limit the scope for broader organizational trust-building. No specific data on employee tenure, voluntary turnover, or cultural surveys.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mindset. Hess Midstream operates in a largely captive arrangement with Chevron as its primary customer. Management commentary focuses on throughput volumes, distribution coverage, and capital returns rather than competitive dynamics or learning from rival midstream operators.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strategic pivots or willingness to transform the business model. Hess Midstream operates the same gathering, processing, and storage assets it was formed to own. The pivot from 'infrastructure buildout' to 'FCF generation' is an operational lifecycle shift, not a strategic transformation [1][2]. The MLP structure inherently limits flexibility as the entity is designed to hold and operate fixed infrastructure assets in a single basin.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committed to and completed a multi-billion dollar multiyear infrastructure buildout in the Bakken during a period of oil price volatility, demonstrating capital discipline and long-term commitment to asset development [1][2]. The leadership transition from John B. Hess to Jonathan Stein as CEO following the Chevron merger was handled smoothly. However, no examples of sacrificing near-term returns for long-term capability or making principled stands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Hess Midstream is transitioning from a capital-intensive buildout phase to a free cash flow harvesting model, with the completion of its multiyear Bakken infrastructure project enabling substantially lower future capex and growing distributions [1][2]. Q1 2026 revenue of $390.1M with full-year 2026 guidance of $1.225-$1.275B Adjusted EBITDA and $650-$700M net income provides earnings visibility. The distribution yield of 7.93% is well-supported by fee-based, minimum volume commitment contracts with Chevron, and the company has increased distributions for 8 consecutive years at approximately 10% annual growth [5]. At a forward P/E of 13.43 with profit margins of 22.64%, the valuation is attractive for a stable infrastructure asset converting nearly all EBITDA to distributable cash flow as capital needs diminish.</w:t>
      </w:r>
    </w:p>
    <w:p>
      <w:pPr>
        <w:spacing w:after="120"/>
      </w:pPr>
      <w:r>
        <w:rPr>
          <w:rFonts w:ascii="Calibri" w:hAnsi="Calibri"/>
          <w:b w:val="0"/>
          <w:color w:val="3A4A28"/>
          <w:sz w:val="20"/>
        </w:rPr>
        <w:t>The bear case centers on structural leverage, single-basin concentration, and sponsor dependence. D/E of 1006% reflects the MLP capital structure with $3.77B debt against minimal equity, amplifying both returns and risk, while the 104.8% GAAP payout ratio indicates distributions slightly exceed reported earnings [5]. Customer concentration risk is acute: Chevron represents the overwhelming majority of throughput, making HESM essentially a single-customer business dependent on Chevron's Bakken production decisions. Q1 2026 revenue growth of just 2.1% represents meaningful deceleration from 8.3% full-year 2025 growth, and the company's 2.3% forward revenue growth rate lags the broader energy sector [1]. Net insider selling of $1.43B in the last 12 months signals limited leadership conviction. The Innovation score of 2 and Inspiration score of 1 reflect that HESM is a cash distribution vehicle, not a purpose-driven enterprise — IOWN's framework heavily penalizes the absence of innovation and mission even when infrastructure metrics are strong.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infrastructure buildout enabling shift to FCF generation with capex declining to substantially lower levels, supporting continued 10%+ annual distribution growth through 2028</w:t>
      </w:r>
    </w:p>
    <w:p>
      <w:pPr>
        <w:spacing w:before="40" w:after="40"/>
        <w:ind w:left="283"/>
      </w:pPr>
      <w:r>
        <w:rPr>
          <w:rFonts w:ascii="Calibri" w:hAnsi="Calibri"/>
          <w:b/>
          <w:color w:val="4A6B25"/>
          <w:sz w:val="20"/>
        </w:rPr>
        <w:t xml:space="preserve">2. </w:t>
      </w:r>
      <w:r>
        <w:rPr>
          <w:rFonts w:ascii="Calibri" w:hAnsi="Calibri"/>
          <w:b w:val="0"/>
          <w:color w:val="3A4A28"/>
          <w:sz w:val="20"/>
        </w:rPr>
        <w:t>AI data center electricity demand boom driving increased Bakken natural gas production and midstream throughput volumes above minimum volume commitments</w:t>
      </w:r>
    </w:p>
    <w:p>
      <w:pPr>
        <w:spacing w:before="40" w:after="40"/>
        <w:ind w:left="283"/>
      </w:pPr>
      <w:r>
        <w:rPr>
          <w:rFonts w:ascii="Calibri" w:hAnsi="Calibri"/>
          <w:b/>
          <w:color w:val="4A6B25"/>
          <w:sz w:val="20"/>
        </w:rPr>
        <w:t xml:space="preserve">3. </w:t>
      </w:r>
      <w:r>
        <w:rPr>
          <w:rFonts w:ascii="Calibri" w:hAnsi="Calibri"/>
          <w:b w:val="0"/>
          <w:color w:val="3A4A28"/>
          <w:sz w:val="20"/>
        </w:rPr>
        <w:t>Potential third-party customer expansion beyond Chevron, diversifying the revenue base and reducing single-customer concentration risk in the Bakken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Chevron controls ~37.8% of HESM and represents the dominant share of throughput — any reduction in Chevron's Bakken production plans would directly impair volumes and cash flow</w:t>
      </w:r>
    </w:p>
    <w:p>
      <w:pPr>
        <w:spacing w:before="40" w:after="40"/>
        <w:ind w:left="283"/>
      </w:pPr>
      <w:r>
        <w:rPr>
          <w:rFonts w:ascii="Calibri" w:hAnsi="Calibri"/>
          <w:b/>
          <w:color w:val="4A6B25"/>
          <w:sz w:val="20"/>
        </w:rPr>
        <w:t xml:space="preserve">2. </w:t>
      </w:r>
      <w:r>
        <w:rPr>
          <w:rFonts w:ascii="Calibri" w:hAnsi="Calibri"/>
          <w:b w:val="0"/>
          <w:color w:val="3A4A28"/>
          <w:sz w:val="20"/>
        </w:rPr>
        <w:t>Debt-to-equity of 1006% and GAAP payout ratio of 104.8% leave minimal margin of safety if commodity prices decline and Bakken activity slows below minimum volume commitments</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decelerating to 2.1% YoY in Q1 2026 from 8.3% in 2025, with forward estimates of only 2.3% annual growth, risking distribution growth stall if throughput volumes plateau</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Hess Midstream's core business of gathering, processing, storing, and transporting oil, gas, and produced water is entirely physical infrastructure that AI cannot substitute [1]. Pipelines, compressor stations, gas processing plants, and storage terminals require real-world engineering and operations that are structurally immune to AI disruption. Midstream energy has been identified as an 'overlooked beneficiary of the AI boom' as AI data center buildouts are driving massive increases in electricity and natural gas demand, directly increasing throughput volumes for midstream operators [5]. The company's SEC filings mention generic AI adoption risks (biased outputs, regulatory scrutiny, cybersecurity) as standard disclosures but no analysts have flagged AI as a disruption threat [4]. AI Opportunity (0/1): No AI revenue. The company is not developing or deploying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Hess Midstream Q1 2026 Earnings Release — Revenue $390.1M, lifted FCF guidance, StockTitan/SEC, April 2026</w:t>
      </w:r>
    </w:p>
    <w:p>
      <w:pPr>
        <w:spacing w:before="20" w:after="20"/>
        <w:ind w:left="170"/>
      </w:pPr>
      <w:r>
        <w:rPr>
          <w:rFonts w:ascii="Calibri" w:hAnsi="Calibri"/>
          <w:b/>
          <w:color w:val="4A6B25"/>
          <w:sz w:val="15"/>
        </w:rPr>
        <w:t xml:space="preserve">2. </w:t>
      </w:r>
      <w:r>
        <w:rPr>
          <w:rFonts w:ascii="Calibri" w:hAnsi="Calibri"/>
          <w:b w:val="0"/>
          <w:color w:val="3A4A28"/>
          <w:sz w:val="17"/>
        </w:rPr>
        <w:t>Hess Midstream Q4 2025 Earnings Call Transcript — Buildout completion, FCF pivot, The Motley Fool, February 2026</w:t>
      </w:r>
    </w:p>
    <w:p>
      <w:pPr>
        <w:spacing w:before="20" w:after="20"/>
        <w:ind w:left="170"/>
      </w:pPr>
      <w:r>
        <w:rPr>
          <w:rFonts w:ascii="Calibri" w:hAnsi="Calibri"/>
          <w:b/>
          <w:color w:val="4A6B25"/>
          <w:sz w:val="15"/>
        </w:rPr>
        <w:t xml:space="preserve">3. </w:t>
      </w:r>
      <w:r>
        <w:rPr>
          <w:rFonts w:ascii="Calibri" w:hAnsi="Calibri"/>
          <w:b w:val="0"/>
          <w:color w:val="3A4A28"/>
          <w:sz w:val="17"/>
        </w:rPr>
        <w:t>Hess Midstream 2023 Sustainability Report — Safety culture, frontline leadership training, hessmidstream.gcs-web.com</w:t>
      </w:r>
    </w:p>
    <w:p>
      <w:pPr>
        <w:spacing w:before="20" w:after="20"/>
        <w:ind w:left="170"/>
      </w:pPr>
      <w:r>
        <w:rPr>
          <w:rFonts w:ascii="Calibri" w:hAnsi="Calibri"/>
          <w:b/>
          <w:color w:val="4A6B25"/>
          <w:sz w:val="15"/>
        </w:rPr>
        <w:t xml:space="preserve">4. </w:t>
      </w:r>
      <w:r>
        <w:rPr>
          <w:rFonts w:ascii="Calibri" w:hAnsi="Calibri"/>
          <w:b w:val="0"/>
          <w:color w:val="3A4A28"/>
          <w:sz w:val="17"/>
        </w:rPr>
        <w:t>Hess Midstream LP Leadership Transition and Board Changes — CEO Jonathan Stein, BusinessWire, July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GuruFocus, StockAnalysis — HESM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