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HIG</w:t>
      </w:r>
      <w:r>
        <w:rPr>
          <w:rFonts w:ascii="Calibri" w:hAnsi="Calibri"/>
          <w:b/>
          <w:color w:val="1A2010"/>
          <w:sz w:val="40"/>
        </w:rPr>
        <w:t xml:space="preserve">  The Hartford Insurance Group, Inc.</w:t>
      </w:r>
    </w:p>
    <w:p>
      <w:pPr>
        <w:spacing w:after="120"/>
      </w:pPr>
      <w:r>
        <w:rPr>
          <w:rFonts w:ascii="Calibri" w:hAnsi="Calibri"/>
          <w:b/>
          <w:color w:val="6E8450"/>
          <w:sz w:val="18"/>
        </w:rPr>
        <w:t>GROWTH SLEEVE · 2026-07-27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NYSE · United States</w:t>
      </w:r>
    </w:p>
    <w:p>
      <w:pPr>
        <w:spacing w:after="80"/>
      </w:pPr>
      <w:r>
        <w:rPr>
          <w:rFonts w:ascii="Calibri" w:hAnsi="Calibri"/>
          <w:b w:val="0"/>
          <w:color w:val="3A4A28"/>
          <w:sz w:val="20"/>
        </w:rPr>
        <w:t>The Hartford Financial Services Group is a leading provider of property and casualty insurance, group benefits, and mutual funds with a 215+ year history. The company operates through Commercial Lines, Personal Lines, Property &amp; Casualty Other Operations, Group Benefits, and Hartford Funds segments. Under CEO Christopher Swift since 2014, Hartford has transformed from a diversified financial conglomerate into a focused P&amp;C and employee benefits insurer. Headquartered in Hartford, Connecticut.</w:t>
      </w:r>
    </w:p>
    <w:p>
      <w:r>
        <w:rPr>
          <w:rFonts w:ascii="Calibri" w:hAnsi="Calibri"/>
          <w:b/>
          <w:color w:val="6E8450"/>
          <w:sz w:val="18"/>
        </w:rPr>
        <w:t>19,200 Employees · https://www.thehartford.com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Hartford completed its post-crisis transformation from a diversified conglomerate to a focused P&amp;C and benefits insurer over a decade ago. Recent years have been characterized by disciplined execution and premium growth rather than new product launches — Q2 2026 Business Insurance delivered 5% written premium growth with 89.3% underlying combined ratio [1]. AI Deployment (1/2): CEO Swift declared Hartford will 'lead the AI implementation for the industry,' with dedicated Chief Data, AI and Operations Officer (Jeffery Hawkins) and CIO (Shekar Pannala) restructured to drive enterprise-wide AI deployment across claims, underwriting, and operations [3][4]. AI education programs are scaling across the organization, but no quantified AI revenue or cost savings have been disclosed. Market Share (1/2): Hartford is a leading commercial lines insurer with Q1 2026 earned premiums of $6.15B and strong workers' compensation position, but competes with larger carriers like Travelers, Chubb, and AIG [1][2]. Product Pipeline (0/2): Seven-year cloud migration initiative and core systems modernization represent operational infrastructure investment, not next-generation insurance products with revenue visibility [3]. R&amp;D Intensity (0/1): Insurance companies generally do not report R&amp;D separately; Hartford's technology investments are above-average for insurers but cannot be specifically quantified.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Hartford's purpose of helping people and businesses prevail through insurance connects to economic resilience and community stability, an industry-appropriate mission validated by 215+ years of execution through multiple crises [5]. Clear and identifies the audience but not distinctively transformative. Community Impact (2/2): The Hartford Foundation for Public Giving (one of the nation's oldest community foundations), U.S. Paralympic team partnership, disability employment programs, and four-pillar sustainability strategy (communities, diversity, ethics, environment) with Board-level governance demonstrate significant, distinctive community investment [5]. Employee Retention (1/2): CEO Swift has led since 2014 with consistent executive team tenure, providing 12 years of leadership stability. The company is investing in AI education for all 19,200 employees rather than replacement, signaling commitment to workforce development [4]. No specific turnover or tenure data available. Insider Buying (1/2): Recent insider transactions show routine compensation-related selling — CEO Swift sold 40,693 shares at ~$138. This is standard for insurance executives with large equity comp, not a negative signal; rated neutral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1.78% below 2% threshold). Exceptional financial profile: D/E of 23% is deeply conservative (score 1.0), ROE of 23% exceeds the 15% target (score 1.0, 2x weight), and Forward P/E of 10.49 is well below 20 (score 1.0) [1][6]. Q2 2026 core earnings of $945M ($3.42 EPS) beat estimates by $0.15 with 18.7% trailing ROE [1]. Revenue growth of 6.9% TTM and estimated 7% 5yr CAGR are solid for a mature insurer (scores 0.90 and 0.80 respectively). Profit margin of 14.11% scores 0.71. The company reported $5.98B operating cash flow with a conservative 15.5% payout ratio, leaving substantial capital for buybacks and reinvestment [6]. PEG excluded (not directly available). FY2025 EPS of $13.51 represented 28.5%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Hartford under Christopher Swift demonstrates meaningful infinite game characteristics through its 215-year history of adaptation, successful post-crisis transformation, consistent premium growth, and long-term technology investment. The company plays to endure — divesting non-core businesses, investing in AI capability, and maintaining 14 consecutive years of dividend increases. However, the insurance industry's inherently competitive dynamics and focus on combined ratios and market position temper the infinite game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Hartford's 215-year track record of helping people and businesses manage risk represents a genuine, enduring purpose validated by centuries of adaptation through industrial revolutions, world wars, financial crises, and the digital age [5]. CEO Swift's transformation from crisis-era conglomerate to focused insurer demonstrates strategic decisions traced to core purpose. The Sustainability Governance Committee and Board-level ESG oversight show institutional commitment. However, the purpose is industry-standard rather than uniquely transformative.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Swift has led since 2014 with consistent strategic direction and stable executive team. The technology leadership restructuring (Pannala elevated to CIO, Hawkins to Chief Data/AI/Operations Officer) shows empowerment of senior leaders [3]. Investment in AI education for all employees rather than replacement signals trust in the workforce. However, no specific evidence of exceptional employee tenure or cultural practices beyond leadership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Hartford's competitive strategy emphasizes improving its own capabilities through technology investment and AI leadership rather than rhetoric about winning market share or defeating competitors [4][5]. CEO Swift's framework focuses on 'leading AI implementation for the industry' as capability building, and the company uses competitive dynamics as motivation to modernize. The 215-year perspective naturally frames competition as an ongoing process of improvement rather than finite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Hartford's post-crisis transformation — divesting life insurance, exiting variable annuities, and focusing on P&amp;C and employee benefits — fundamentally reshaped the company's identity and capital allocation [5]. This pivot occurred over a decade ago, and the company has since operated within its refined scope without further transformative shifts, though the AI leadership commitment represents ongoing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divestiture of the life and annuity business to Talcott Resolution represented a courageous choice to sacrifice diversified revenue for focused excellence in P&amp;C and benefits. The seven-year cloud migration commitment and dedicated AI leadership restructuring represent long-term investment [3][5]. However, Hartford's massive profitability ($945M quarterly core earnings) means these investments carry limited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Hartford is a best-in-class P&amp;C insurer delivering exceptional financial performance at an attractive valuation. Q2 2026 core earnings of $945M ($3.42 EPS, beat by $0.15) with 18.7% trailing ROE demonstrate accelerating profitability driven by disciplined underwriting and 5% Business Insurance written premium growth [1]. At 10.49x forward P/E with 23% ROE, the stock is among the cheapest quality names in financial services. D/E of 23% and $5.98B operating cash flow create a fortress balance sheet [6]. The 15.5% payout ratio with 14 consecutive years of dividend growth (11.07% 5yr CAGR) signals substantial room for capital returns via buybacks and dividend increases. CEO Swift's aggressive AI investment with dedicated C-suite leadership positions Hartford as an early mover in insurance technology modernization [3][4].</w:t>
      </w:r>
    </w:p>
    <w:p>
      <w:pPr>
        <w:spacing w:after="120"/>
      </w:pPr>
      <w:r>
        <w:rPr>
          <w:rFonts w:ascii="Calibri" w:hAnsi="Calibri"/>
          <w:b w:val="0"/>
          <w:color w:val="3A4A28"/>
          <w:sz w:val="20"/>
        </w:rPr>
        <w:t>The bear case centers on insurance cycle risk and industry maturity. Revenue growth of 6.9% YoY reflects the mature U.S. insurance market, and the current hard pricing cycle driving margin expansion will eventually soften, potentially compressing combined ratios and earnings [1]. Q2 2026 disclosures flagged reserve concerns amid the 18.7% ROE, suggesting potential adverse development [1]. Personal Insurance written premiums declined 7% with 10% auto decline, signaling competitive pressure that could spread. Catastrophe exposure remains a constant risk — climate change increases frequency and severity of loss events. The negative Inspire Impact score (-49) due to LGBT Activism may limit appeal for faith-aligned investors despite an otherwise excellent ESG profile. The 1.78% dividend yield falls below the 2% threshold for income-focused investors, and insider selling by CEO Swift (40,693 shares) suggests management may view the stock as fairly valued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deployment across claims, underwriting, and operations under Chief Data, AI and Operations Officer driving measurable expense ratio improvement and competitive differentiation as an industry first-mover [3][4]</w:t>
      </w:r>
    </w:p>
    <w:p>
      <w:pPr>
        <w:spacing w:before="40" w:after="40"/>
        <w:ind w:left="283"/>
      </w:pPr>
      <w:r>
        <w:rPr>
          <w:rFonts w:ascii="Calibri" w:hAnsi="Calibri"/>
          <w:b/>
          <w:color w:val="4A6B25"/>
          <w:sz w:val="20"/>
        </w:rPr>
        <w:t xml:space="preserve">2. </w:t>
      </w:r>
      <w:r>
        <w:rPr>
          <w:rFonts w:ascii="Calibri" w:hAnsi="Calibri"/>
          <w:b w:val="0"/>
          <w:color w:val="3A4A28"/>
          <w:sz w:val="20"/>
        </w:rPr>
        <w:t>Capital return expansion through announced share repurchase program at 10.49x forward PE with 15.5% payout ratio, creating significant per-share accretion funded by $5.98B operating cash flow [1][6]</w:t>
      </w:r>
    </w:p>
    <w:p>
      <w:pPr>
        <w:spacing w:before="40" w:after="40"/>
        <w:ind w:left="283"/>
      </w:pPr>
      <w:r>
        <w:rPr>
          <w:rFonts w:ascii="Calibri" w:hAnsi="Calibri"/>
          <w:b/>
          <w:color w:val="4A6B25"/>
          <w:sz w:val="20"/>
        </w:rPr>
        <w:t xml:space="preserve">3. </w:t>
      </w:r>
      <w:r>
        <w:rPr>
          <w:rFonts w:ascii="Calibri" w:hAnsi="Calibri"/>
          <w:b w:val="0"/>
          <w:color w:val="3A4A28"/>
          <w:sz w:val="20"/>
        </w:rPr>
        <w:t>Business Insurance written premium growth maintaining 5%+ trajectory with sub-90% combined ratios, demonstrating underwriting discipline in a hardening commercial P&amp;C market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loss exposure and adverse reserve development — Q2 2026 flagged reserve concerns, and climate change increases both frequency and severity of natural catastrophe events affecting P&amp;C profitability [1]</w:t>
      </w:r>
    </w:p>
    <w:p>
      <w:pPr>
        <w:spacing w:before="40" w:after="40"/>
        <w:ind w:left="283"/>
      </w:pPr>
      <w:r>
        <w:rPr>
          <w:rFonts w:ascii="Calibri" w:hAnsi="Calibri"/>
          <w:b/>
          <w:color w:val="4A6B25"/>
          <w:sz w:val="20"/>
        </w:rPr>
        <w:t xml:space="preserve">2. </w:t>
      </w:r>
      <w:r>
        <w:rPr>
          <w:rFonts w:ascii="Calibri" w:hAnsi="Calibri"/>
          <w:b w:val="0"/>
          <w:color w:val="3A4A28"/>
          <w:sz w:val="20"/>
        </w:rPr>
        <w:t>Personal Insurance written premium decline of 7% (auto down 10%) signals competitive pressure from insurtechs and digital-first competitors that could pressure broader margins [1]</w:t>
      </w:r>
    </w:p>
    <w:p>
      <w:pPr>
        <w:spacing w:before="40" w:after="40"/>
        <w:ind w:left="283"/>
      </w:pPr>
      <w:r>
        <w:rPr>
          <w:rFonts w:ascii="Calibri" w:hAnsi="Calibri"/>
          <w:b/>
          <w:color w:val="4A6B25"/>
          <w:sz w:val="20"/>
        </w:rPr>
        <w:t xml:space="preserve">3. </w:t>
      </w:r>
      <w:r>
        <w:rPr>
          <w:rFonts w:ascii="Calibri" w:hAnsi="Calibri"/>
          <w:b w:val="0"/>
          <w:color w:val="3A4A28"/>
          <w:sz w:val="20"/>
        </w:rPr>
        <w:t>Insurance pricing cycle turn — the current hard market driving premium growth and margin expansion will eventually soften, potentially compressing the 23% ROE toward historical averages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Insurance is a deeply regulated, capital-intensive industry with significant barriers to entry — state-by-state licensing, reserve requirements, rate-setting regulations, and complex claims adjudication create structural moats that AI cannot bypass [5]. Hartford's commercial lines and workers' compensation businesses require deep industry expertise, actuarial judgment, and client relationships that AI augments but does not replace. However, insurtechs like Lemonade and Root have demonstrated AI-driven automation in personal lines, creating modest exposure — Hartford's Personal Insurance saw 7% written premium decline with 10% auto decline in Q2 2026 [1]. AI Opportunity (1/1): CEO Swift committed Hartford to 'lead the AI implementation for the industry,' deploying AI across claims, underwriting, and operations with dedicated C-suite leadership (Chief Data, AI and Operations Officer) and enterprise-wide AI education programs [3][4]. Organizational restructuring around AI signals meaningful integration generating operational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Hartford Financial Q2 2026 Earnings Release — $945M core earnings ($3.42 EPS), 18.7% trailing ROE, Business Insurance 5% premium growth, July 2026</w:t>
      </w:r>
    </w:p>
    <w:p>
      <w:pPr>
        <w:spacing w:before="20" w:after="20"/>
        <w:ind w:left="170"/>
      </w:pPr>
      <w:r>
        <w:rPr>
          <w:rFonts w:ascii="Calibri" w:hAnsi="Calibri"/>
          <w:b/>
          <w:color w:val="4A6B25"/>
          <w:sz w:val="15"/>
        </w:rPr>
        <w:t xml:space="preserve">2. </w:t>
      </w:r>
      <w:r>
        <w:rPr>
          <w:rFonts w:ascii="Calibri" w:hAnsi="Calibri"/>
          <w:b w:val="0"/>
          <w:color w:val="3A4A28"/>
          <w:sz w:val="17"/>
        </w:rPr>
        <w:t>Hartford Financial Q1 2026 Earnings Release — $866M core earnings (up 36% YoY), $7.23B revenue, April 2026</w:t>
      </w:r>
    </w:p>
    <w:p>
      <w:pPr>
        <w:spacing w:before="20" w:after="20"/>
        <w:ind w:left="170"/>
      </w:pPr>
      <w:r>
        <w:rPr>
          <w:rFonts w:ascii="Calibri" w:hAnsi="Calibri"/>
          <w:b/>
          <w:color w:val="4A6B25"/>
          <w:sz w:val="15"/>
        </w:rPr>
        <w:t xml:space="preserve">3. </w:t>
      </w:r>
      <w:r>
        <w:rPr>
          <w:rFonts w:ascii="Calibri" w:hAnsi="Calibri"/>
          <w:b w:val="0"/>
          <w:color w:val="3A4A28"/>
          <w:sz w:val="17"/>
        </w:rPr>
        <w:t>CIO Dive — Hartford Technology Leadership Restructuring, Pannala (CIO) and Hawkins (Chief Data/AI/Ops) appointments, 2025</w:t>
      </w:r>
    </w:p>
    <w:p>
      <w:pPr>
        <w:spacing w:before="20" w:after="20"/>
        <w:ind w:left="170"/>
      </w:pPr>
      <w:r>
        <w:rPr>
          <w:rFonts w:ascii="Calibri" w:hAnsi="Calibri"/>
          <w:b/>
          <w:color w:val="4A6B25"/>
          <w:sz w:val="15"/>
        </w:rPr>
        <w:t xml:space="preserve">4. </w:t>
      </w:r>
      <w:r>
        <w:rPr>
          <w:rFonts w:ascii="Calibri" w:hAnsi="Calibri"/>
          <w:b w:val="0"/>
          <w:color w:val="3A4A28"/>
          <w:sz w:val="17"/>
        </w:rPr>
        <w:t>Coverager — Hartford CEO Christopher Swift AI Leadership Strategy ('lead the AI implementation for the industry'), 2025</w:t>
      </w:r>
    </w:p>
    <w:p>
      <w:pPr>
        <w:spacing w:before="20" w:after="20"/>
        <w:ind w:left="170"/>
      </w:pPr>
      <w:r>
        <w:rPr>
          <w:rFonts w:ascii="Calibri" w:hAnsi="Calibri"/>
          <w:b/>
          <w:color w:val="4A6B25"/>
          <w:sz w:val="15"/>
        </w:rPr>
        <w:t xml:space="preserve">5. </w:t>
      </w:r>
      <w:r>
        <w:rPr>
          <w:rFonts w:ascii="Calibri" w:hAnsi="Calibri"/>
          <w:b w:val="0"/>
          <w:color w:val="3A4A28"/>
          <w:sz w:val="17"/>
        </w:rPr>
        <w:t>Hartford Financial 2026 Letter to Shareholders — 215-year history, strategic transformation, sustainability governance, four-pillar ESG strategy</w:t>
      </w:r>
    </w:p>
    <w:p>
      <w:pPr>
        <w:spacing w:before="20" w:after="20"/>
        <w:ind w:left="170"/>
      </w:pPr>
      <w:r>
        <w:rPr>
          <w:rFonts w:ascii="Calibri" w:hAnsi="Calibri"/>
          <w:b/>
          <w:color w:val="4A6B25"/>
          <w:sz w:val="15"/>
        </w:rPr>
        <w:t xml:space="preserve">6. </w:t>
      </w:r>
      <w:r>
        <w:rPr>
          <w:rFonts w:ascii="Calibri" w:hAnsi="Calibri"/>
          <w:b w:val="0"/>
          <w:color w:val="3A4A28"/>
          <w:sz w:val="17"/>
        </w:rPr>
        <w:t>Yahoo Finance — HIG Key Statistics, $140.78 stock price, 10.49x forward PE, 23% D/E, 23% ROE,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