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HIW</w:t>
      </w:r>
      <w:r>
        <w:rPr>
          <w:rFonts w:ascii="Calibri" w:hAnsi="Calibri"/>
          <w:b/>
          <w:color w:val="1A2010"/>
          <w:sz w:val="40"/>
        </w:rPr>
        <w:t xml:space="preserve">  Highwoods Properties, Inc.</w:t>
      </w:r>
    </w:p>
    <w:p>
      <w:pPr>
        <w:spacing w:after="120"/>
      </w:pPr>
      <w:r>
        <w:rPr>
          <w:rFonts w:ascii="Calibri" w:hAnsi="Calibri"/>
          <w:b/>
          <w:color w:val="6E8450"/>
          <w:sz w:val="18"/>
        </w:rPr>
        <w:t>DIVIDEND SLEEVE · 2026-07-29 · Inspire: 52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Highwoods Properties is a fully integrated, self-administered REIT that owns, develops, acquires, leases, and manages office properties primarily in the best business districts (BBDs) of fast-growing Sun Belt markets including Raleigh, Nashville, Tampa, Charlotte, Atlanta, Dallas, Orlando, and Richmond. The company owns approximately 27 million square feet of office space and is known for its BBD-focused strategy and strong sustainability practices.</w:t>
      </w:r>
    </w:p>
    <w:p>
      <w:r>
        <w:rPr>
          <w:rFonts w:ascii="Calibri" w:hAnsi="Calibri"/>
          <w:b/>
          <w:color w:val="6E8450"/>
          <w:sz w:val="18"/>
        </w:rPr>
        <w:t>315 Employees · https://www.highwoods.com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Q1 2026 revenue of $214.0M was up 6.1% YoY from $201.7M in Q1 2025, and FY2026 FFO guidance was set at $3.46-$3.70 per share [1]. Leasing momentum has improved with positive cash rent spreads, but this represents normal REIT operations rather than business model innovation. No transformative product launches or market pivots in the last 5 years — the company has maintained its BBD office strategy throughout the post-pandemic office downturn. AI Deployment (0/2): No AI-powered products, services, or quantified AI-driven operational savings. Jefferies specifically downgraded HIW citing limited exposure to AI hubs as a competitive weakness [2]. Market Share (1/2): Highwoods is a leading office REIT in Sun Belt BBDs with a differentiated geographic focus that has partially outperformed coastal markets post-pandemic, but it is not the largest office REIT nationally [1][4]. Product Pipeline (1/2): FY2026 guidance projects occupancy improvement and NOI growth potential, with Q1 2026 same-property cash NOI increasing, providing near-term operational visibility [1]. R&amp;D Intensity (0/1): REITs do not conduct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Highwoods' mission is to 'create environments and experiences that inspire their teammates and customers to achieve more together' — a specific, thoughtful statement that connects real estate to enabling human achievement and positions the company as being in the 'work-placemaking business' [4]. The mission is distinctive for a REIT and clearly shapes their BBD strategy, though it has not been tested through multi-decade consistency under the current articulation. Community &amp; Charitable Impact (1/2): The company has earned recognition as a Green Lease Leader and publishes sustainability-linked debt instruments, linking loan costs to emissions reduction targets [4]. Nearly 100 ENERGY STAR certified properties demonstrate genuine environmental commitment, though no distinctive charitable foundation or community investment programs were identified. Employee Retention (0/2): Glassdoor employees rated Highwoods 3.4/5 for culture and values with mixed reviews — some praise CEO and benefits, while others describe upper management as 'disconnected and unwilling to adapt to a new working culture' [3]. No specific retention or tenure data available. Insider Buying (1/2): Net insider buying of $170K in the last 3 months signals modest management conviction, though the dollar amount is small relative to market cap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Q1 2026 revenue of $214.0M grew 6.1% YoY, and 5-year revenue CAGR is approximately 2.3%, reflecting slow but positive growth [1][5]. Forward P/E of 29.64 reflects GAAP earnings depression from heavy REIT depreciation charges — FFO metrics are more relevant but the algorithm uses GAAP P/E, scoring 0.759. D/E of 156.32% is moderate for a leveraged REIT and scores 0.625 [5]. ROE of only 3.86% and net profit margin of 11.71% are weak, reflecting the office sector's profitability challenges [5]. The dividend track record is strong with 32 consecutive years paid, but the payout has been flat at $2.00/share annually with zero growth and the GAAP payout ratio of 238.10% appears unsustainable on an earnings basis (though FFO coverage is adequate). The 5-year dividend growth CAGR of just 0.82% provides essentially no inflation protection. Liquidity floor cleared: 1.42M avg volume x $29.28 = $41.6M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Highwoods shows some long-term thinking through its 32-year dividend history and consistent BBD strategy, but the company lacks a transformative Just Cause, has not adapted its business model despite secular shifts in office demand, and shows cultural rigidity in Glassdoor reviews. The flat dividend, lack of strategic pivots, and management resistance to change suggest a company playing to preserve the status quo rather than to endure and evolve.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Highwoods articulates a mission to 'create environments and experiences that inspire teammates and customers to achieve more together' and positions itself in the 'work-placemaking business' [4]. This is more than boilerplate — it shows intentionality and connects real estate to enabling human achievement. However, the mission has not been validated through crisis or multi-decade consistency under this articulation, and the company's strategic decisions (flat dividend, no diversification, resistance to cultural adaptation) do not consistently trace back to this stated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315 employees, Highwoods operates as a lean organization where trust matters disproportionately. CEO Klinck's 7-year tenure provides leadership stability. However, Glassdoor reviews rate culture at 3.4/5 with specific complaints that 'leadership has a hard time wanting to pivot and get adjusted to new times' and upper management is 'disconnected and unwilling to adapt to a new working culture' [3], suggesting adequate but not high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of competitive learning mindset. Highwoods competes against Cousins Properties, Piedmont Office Realty, and Parkway in the Sun Belt office space but management commentary focuses on BBD differentiation and occupancy metrics rather than learning from competitors' strengths or using rivalry as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Highwoods has shown no existential flexibility — the company remains a pure-play office REIT despite the most significant structural disruption to office demand in modern history [1]. While the Sun Belt BBD focus is strategically sound, the company has not meaningfully diversified into adjacent property types (life sciences, flex space, mixed-use) or geographies that might better capture workplace evolution. The commitment to its current model is either strategic conviction or inflexibility — the post-pandemic era has not yet provided enough evidence to distinguish.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Maintaining investment in office properties during the post-pandemic downturn when many investors and REITs abandoned the sector demonstrates conviction in the BBD strategy [1]. CEO Ted Klinck has led since 2018 through the most challenging period in office REIT history. However, the flat dividend ($2.00/share, no growth for multiple years) and cautious 87.5% occupancy targets suggest risk-averse management prioritizing preservation over aggressive repositioning.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Highwoods Properties offers a 5.95% dividend yield on a 32-year payment streak, backed by a differentiated Sun Belt BBD strategy that has partially shielded the portfolio from the worst of the post-pandemic office downturn [1][4]. Q1 2026 revenue of $214.0M grew 6.1% YoY, and FFO guidance of $3.46-$3.70 per share suggests the portfolio is stabilizing with same-property NOI growth resuming. The company's sustainability-linked debt instruments and nearly 100 ENERGY STAR certified properties enhance tenant appeal in an increasingly ESG-conscious corporate real estate market [4]. At a dividend yield approaching 6% with decades of payment consistency, HIW offers income investors a stable cash flow stream from physical assets in some of America's fastest-growing metropolitan areas.</w:t>
      </w:r>
    </w:p>
    <w:p>
      <w:pPr>
        <w:spacing w:after="120"/>
      </w:pPr>
      <w:r>
        <w:rPr>
          <w:rFonts w:ascii="Calibri" w:hAnsi="Calibri"/>
          <w:b w:val="0"/>
          <w:color w:val="3A4A28"/>
          <w:sz w:val="20"/>
        </w:rPr>
        <w:t>The bear case centers on secular office demand decline, valuation distortion, and growth stagnation. The post-pandemic shift to hybrid and remote work has structurally reduced office demand, and occupancy rates remain below pre-pandemic norms despite improving leasing activity [1]. Jefferies downgraded HIW specifically because its Sun Belt BBD portfolio lacks exposure to AI tenant demand — the fastest-growing source of office leasing — unlike West Coast peers capturing AI company expansion [2]. D/E of 156.32% creates interest rate sensitivity, and the GAAP payout ratio of 238.10% (though FFO-covered) signals that the dividend consumes more than all reported earnings. Most critically, the $2.00/share annual dividend has been flat with a 5-year growth CAGR of just 0.82%, offering zero inflation protection and suggesting limited financial flexibility for growth investment. Glassdoor reviews citing management's resistance to cultural adaptation raise concerns about the company's ability to evolve as workplace needs change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Sun Belt population and business migration trends continuing to drive office demand in Raleigh, Nashville, Tampa, Charlotte, and Atlanta — markets where Highwoods holds BBD-dominant positions [1]</w:t>
      </w:r>
    </w:p>
    <w:p>
      <w:pPr>
        <w:spacing w:before="40" w:after="40"/>
        <w:ind w:left="283"/>
      </w:pPr>
      <w:r>
        <w:rPr>
          <w:rFonts w:ascii="Calibri" w:hAnsi="Calibri"/>
          <w:b/>
          <w:color w:val="4A6B25"/>
          <w:sz w:val="20"/>
        </w:rPr>
        <w:t xml:space="preserve">2. </w:t>
      </w:r>
      <w:r>
        <w:rPr>
          <w:rFonts w:ascii="Calibri" w:hAnsi="Calibri"/>
          <w:b w:val="0"/>
          <w:color w:val="3A4A28"/>
          <w:sz w:val="20"/>
        </w:rPr>
        <w:t>Interest rate reductions in 2026 could lower financing costs on the leveraged capital structure, improve cap rates, and drive REIT multiple expansion across the office sector</w:t>
      </w:r>
    </w:p>
    <w:p>
      <w:pPr>
        <w:spacing w:before="40" w:after="40"/>
        <w:ind w:left="283"/>
      </w:pPr>
      <w:r>
        <w:rPr>
          <w:rFonts w:ascii="Calibri" w:hAnsi="Calibri"/>
          <w:b/>
          <w:color w:val="4A6B25"/>
          <w:sz w:val="20"/>
        </w:rPr>
        <w:t xml:space="preserve">3. </w:t>
      </w:r>
      <w:r>
        <w:rPr>
          <w:rFonts w:ascii="Calibri" w:hAnsi="Calibri"/>
          <w:b w:val="0"/>
          <w:color w:val="3A4A28"/>
          <w:sz w:val="20"/>
        </w:rPr>
        <w:t>Leasing momentum recovery with Q1 2026 revenue up 6.1% YoY and same-property NOI growth resuming, potentially driving FFO above guidance midpoint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office demand decline from remote/hybrid work may permanently impair demand for traditional office space, even in growing Sun Belt markets [1]</w:t>
      </w:r>
    </w:p>
    <w:p>
      <w:pPr>
        <w:spacing w:before="40" w:after="40"/>
        <w:ind w:left="283"/>
      </w:pPr>
      <w:r>
        <w:rPr>
          <w:rFonts w:ascii="Calibri" w:hAnsi="Calibri"/>
          <w:b/>
          <w:color w:val="4A6B25"/>
          <w:sz w:val="20"/>
        </w:rPr>
        <w:t xml:space="preserve">2. </w:t>
      </w:r>
      <w:r>
        <w:rPr>
          <w:rFonts w:ascii="Calibri" w:hAnsi="Calibri"/>
          <w:b w:val="0"/>
          <w:color w:val="3A4A28"/>
          <w:sz w:val="20"/>
        </w:rPr>
        <w:t>Zero dividend growth — flat $2.00/share annual dividend with 0.82% 5-year CAGR provides no inflation protection and signals limited financial flexibility for reinvestment or growth [5]</w:t>
      </w:r>
    </w:p>
    <w:p>
      <w:pPr>
        <w:spacing w:before="40" w:after="40"/>
        <w:ind w:left="283"/>
      </w:pPr>
      <w:r>
        <w:rPr>
          <w:rFonts w:ascii="Calibri" w:hAnsi="Calibri"/>
          <w:b/>
          <w:color w:val="4A6B25"/>
          <w:sz w:val="20"/>
        </w:rPr>
        <w:t xml:space="preserve">3. </w:t>
      </w:r>
      <w:r>
        <w:rPr>
          <w:rFonts w:ascii="Calibri" w:hAnsi="Calibri"/>
          <w:b w:val="0"/>
          <w:color w:val="3A4A28"/>
          <w:sz w:val="20"/>
        </w:rPr>
        <w:t>Limited AI market exposure flagged by Jefferies as competitive weakness — unlike coastal peers capturing AI tenant demand, HIW's Sun Belt BBDs have attracted minimal AI-related leasing activity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Highwoods' physical real estate portfolio cannot be replicated or substituted by AI — buildings, leases, and tenant relationships require tangible infrastructure that is structurally immune to digital disruption [1]. Long-term office leases (typically 5-10 years) provide revenue visibility regardless of near-term technology shifts. However, Jefferies downgraded HIW to Hold specifically citing 'limited exposure to artificial intelligence hubs' — the company's Sunbelt-heavy footprint lacks presence in gateway AI markets (SF, Seattle, Austin), meaning it captures minimal benefit from AI-driven tenant demand [2]. Only one AI-related tenant has been signed in Dallas. More broadly, AI-driven productivity gains could enable companies to house the same workforce in less physical space, creating indirect demand pressure on all office REITs. AI Opportunity (0/1): No AI-related revenue. Unlike West Coast peers benefiting from AI tenant demand, HIW's Sun Belt BBD portfolio has attracted minimal AI company leasing activity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Highwoods Properties Q1 2026 Earnings Highlights — Revenue $214.0M (+6.1% YoY), FY2026 FFO guidance $3.46-$3.70,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Jefferies Downgrade of HIW to Hold — Limited AI hub exposure, Sunbelt-heavy footprint, Investing.com, 2026</w:t>
      </w:r>
    </w:p>
    <w:p>
      <w:pPr>
        <w:spacing w:before="20" w:after="20"/>
        <w:ind w:left="170"/>
      </w:pPr>
      <w:r>
        <w:rPr>
          <w:rFonts w:ascii="Calibri" w:hAnsi="Calibri"/>
          <w:b/>
          <w:color w:val="4A6B25"/>
          <w:sz w:val="15"/>
        </w:rPr>
        <w:t xml:space="preserve">3. </w:t>
      </w:r>
      <w:r>
        <w:rPr>
          <w:rFonts w:ascii="Calibri" w:hAnsi="Calibri"/>
          <w:b w:val="0"/>
          <w:color w:val="3A4A28"/>
          <w:sz w:val="17"/>
        </w:rPr>
        <w:t>Highwoods Properties Glassdoor Reviews — 3.4/5 culture, mixed leadership sentiment,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Highwoods Properties Corporate Website — Mission, sustainability-linked debt, ENERGY STAR certifications, highwoods.com,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HIW key statistics, dividend history, financial ratios,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