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HNRG</w:t>
      </w:r>
      <w:r>
        <w:rPr>
          <w:rFonts w:ascii="Calibri" w:hAnsi="Calibri"/>
          <w:b/>
          <w:color w:val="1A2010"/>
          <w:sz w:val="40"/>
        </w:rPr>
        <w:t xml:space="preserve">  Hallador Energy Company</w:t>
      </w:r>
    </w:p>
    <w:p>
      <w:pPr>
        <w:spacing w:after="120"/>
      </w:pPr>
      <w:r>
        <w:rPr>
          <w:rFonts w:ascii="Calibri" w:hAnsi="Calibri"/>
          <w:b/>
          <w:color w:val="6E8450"/>
          <w:sz w:val="18"/>
        </w:rPr>
        <w:t>GROWTH SLEEVE · 2026-08-05 · Inspire: 29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Thermal Coal / Independent Power Producer · NASDAQ · United States</w:t>
      </w:r>
    </w:p>
    <w:p>
      <w:pPr>
        <w:spacing w:after="80"/>
      </w:pPr>
      <w:r>
        <w:rPr>
          <w:rFonts w:ascii="Calibri" w:hAnsi="Calibri"/>
          <w:b w:val="0"/>
          <w:color w:val="3A4A28"/>
          <w:sz w:val="20"/>
        </w:rPr>
        <w:t>Hallador Energy Company is a vertically-integrated Independent Power Producer (IPP) headquartered in Terre Haute, Indiana. The company operates through two core businesses: Hallador Power Company, which produces electricity at its 1,080 MW Merom Generating Station (a two-unit coal-fired plant acquired from Hoosier Energy in October 2022), and Sunrise Coal, which supplies fuel through coal mining operations in the Illinois Basin. Revenue reached $469.5M in 2025, up 16% YoY, as the company continues its transformation from a pure coal miner to an integrated power producer positioned to serve rising grid demand.</w:t>
      </w:r>
    </w:p>
    <w:p>
      <w:r>
        <w:rPr>
          <w:rFonts w:ascii="Calibri" w:hAnsi="Calibri"/>
          <w:b/>
          <w:color w:val="6E8450"/>
          <w:sz w:val="18"/>
        </w:rPr>
        <w:t>https://halladorenergy.com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Hallador's October 2022 acquisition of the 1,080 MW Merom Generating Station from Hoosier Energy fundamentally transformed the company from a pure Illinois Basin coal miner into a vertically-integrated IPP, opening a major new revenue stream that drove revenue from $247.7M (2021) to $469.5M (2025) [1][3]. This is a significant strategic pivot that redefined the company's business model. AI Deployment (1/2): Hallador has tied executive compensation to AI tool deployment and development under its 2026 Executive Compensation and Incentive Plan, signaling active AI adoption [5]. However, no AI products are shipping to customers and no specific cost savings or revenue gains from AI have been quantified publicly. Market Share (0/2): Hallador operates a single 1,080 MW coal-fired plant in the MISO region — a meaningful but not dominant capacity position in a fragmented power generation market where electricity is a commodity product with no differentiation [3]. Product Pipeline (1/2): Plans for natural gas facility development at the Merom site would diversify the fuel mix and potentially attract data center co-location customers, but specific timelines, capital costs, and revenue projections have not been publicly disclosed [5]. R&amp;D Intensity (0/1): Power generation and coal mining are not R&amp;D-intensive industries. Hallador's capital expenditure focuses on plant operations and mine development rather than research and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Hallador's mission is 'to deliver reliable power through a pragmatic, shareholder-driven approach that inspires trust, builds lasting relationships, generates value, and meets the energy demands of a changing world' [3]. This is a generic, boilerplate statement centered on shareholder value delivery — 'pragmatic, shareholder-driven' is explicitly about financial returns, not a deeper purpose. It is interchangeable with virtually any utility or power company. Community Impact (0/2): No evidence of charitable giving, community foundations, or distinctive community investment programs was identified in research. The company's coal mining and power generation operations in Sullivan County, Indiana presumably provide local employment, but no specific programs were found. Employee Retention (0/2): No data on employee tenure, voluntary turnover, or cultural practices is publicly available. Insider Buying (0/2): No evidence of meaningful net insider buying by the CEO or executive team in the last 12 months was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core and growth metrics with PEG excluded as unavailable. Hallador's standout metric is its fortress balance sheet: D/E of just 3.0% versus the 70% target scores a perfect 1.0, reflecting the company's near-zero leverage [2]. ROE of 14.07% is strong at 93.8% of the 15% target. Revenue growth is robust at 16.1% YoY and an estimated 17.3% 5-year CAGR, both exceeding the 10% targets [1]. Forward P/E of 21.63 is slightly above the 20 target at 95.9% score. The primary weakness is profit margin at just 5.0% (TTM) versus the 20% target, scoring only 0.25 — reflecting the inherently thin-margin nature of coal-fired power generation and the Q1 2026 net loss (EPS -$0.20) [1][2]. Liquidity floor cleared: 882,445 avg daily volume x $16.65 = $14.7M, well above the $1M threshold.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Hallador Energy operates with a transparently finite mindset. Its stated mission centers on 'pragmatic, shareholder-driven' value generation — the antithesis of Simon Sinek's infinite game philosophy. The company's strategic decisions (acquiring a distressed coal plant at a discount, vertically integrating to capture margin, planning gas conversion to extend asset life) are rational capital allocation moves, not expressions of a transcendent purpose. Leadership optimizes for near-term shareholder returns in a declining industry rather than building an institution designed to endure across generations.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Hallador's mission explicitly prioritizes a 'pragmatic, shareholder-driven approach' — the company exists to generate financial returns, not to advance a vision of a better future [3]. There is no Just Cause articulated beyond meeting energy demands, which is the basic function of any power company. 'Reliable power' is a business objective, not an idealistic, inclusive, service-oriented cause that inspires people to sacrifice. Sinek would identify this as a textbook finite player.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Hallador recently recruited the former CEO of Southwest Power Pool, who led 800+ employees and managed $2B in transmission projects, bringing experienced grid operations leadership to the company [5]. The company's long history in Indiana coal country and stable operational workforce suggest organizational continuity without major cultural disruptions. However, no specific employee satisfaction, tenure, or trust data is publicly available to differentiate Hallador from industry average.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Hallador's management acknowledging competitors' strengths or framing competition as motivation for self-improvement. The company's competitive positioning focuses on the advantages of reliable, dispatchable coal-fired generation versus intermittent renewables — a defensive framing that emphasizes rivals' weaknesses rather than learning from their strengths [3][4].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Hallador's transformation from a pure coal mining company to a vertically-integrated IPP through the 2022 Merom acquisition demonstrates meaningful strategic flexibility — the company entered an adjacent market that fundamentally changed its business model and revenue profile [1][3]. The planned natural gas facility represents a further evolution toward fuel diversification. However, these are incremental portfolio adjustments within the energy sector, not a transformative reinvention driven by a Just Cause. The company remains coal-dependent at its core.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Acquiring the Merom Generating Station in October 2022 — when coal assets were widely viewed as stranded and ESG pressures were intensifying — required conviction that reliable baseload power would retain value despite the energy transition narrative [1][3]. The investment was contrarian and involved meaningful capital commitment. However, the deal was opportunistic (buying a distressed asset from Hoosier Energy at a discount) rather than a principled sacrifice of short-term earnings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Hallador Energy at $16.65 with a fortress balance sheet (D/E 3.0%) and a 1,080 MW dispatchable power asset offers a compelling risk/reward in an era of surging electricity demand from AI data centers [1][2]. Revenue grew 16% YoY to $469.5M in 2025, and the vertical integration of Sunrise Coal feeding Merom's generation provides structural cost advantages that pure-play generators lack. The company's near-zero leverage provides strategic optionality for facility upgrades, gas conversion, or acquisitions as the power market tightens. Northland Securities' $30.33 average price target implies 82% upside, and the MISO grid's reliability concerns create a favorable pricing environment for reliable baseload capacity [2].</w:t>
      </w:r>
    </w:p>
    <w:p>
      <w:pPr>
        <w:spacing w:after="120"/>
      </w:pPr>
      <w:r>
        <w:rPr>
          <w:rFonts w:ascii="Calibri" w:hAnsi="Calibri"/>
          <w:b w:val="0"/>
          <w:color w:val="3A4A28"/>
          <w:sz w:val="20"/>
        </w:rPr>
        <w:t>The bear case centers on Hallador's structural dependence on coal in an era of accelerating environmental regulation and ESG-driven capital restrictions. The 2024 net loss of $226.1M (including asset impairments) demonstrates the earnings volatility inherent in coal operations, and Q1 2026 EPS of -$0.20 suggests profitability remains fragile [1][4]. EPA regulations including the Good Neighbor Plan and potential carbon emission standards could mandate expensive retrofits or force early retirement of the Merom units, with compliance costs that would overwhelm the thin 5% profit margin. ESG activist pressure on financial institutions and insurers to restrict business with fossil fuel companies poses a real constraint on future capital access, despite the current minimal leverage [4]. The natural gas conversion plan remains early-stage with no disclosed timeline or capital budget, leaving investors dependent on an aging coal asset whose useful life is uncertain under tightening environmental regulation.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power demand in the MISO region driving premium pricing for reliable, dispatchable baseload generation — Hallador's 1 GW Merom station is positioned to benefit from tightening grid capacity as hyperscalers and co-location providers seek dedicated power supply [3][4]</w:t>
      </w:r>
    </w:p>
    <w:p>
      <w:pPr>
        <w:spacing w:before="40" w:after="40"/>
        <w:ind w:left="283"/>
      </w:pPr>
      <w:r>
        <w:rPr>
          <w:rFonts w:ascii="Calibri" w:hAnsi="Calibri"/>
          <w:b/>
          <w:color w:val="4A6B25"/>
          <w:sz w:val="20"/>
        </w:rPr>
        <w:t xml:space="preserve">2. </w:t>
      </w:r>
      <w:r>
        <w:rPr>
          <w:rFonts w:ascii="Calibri" w:hAnsi="Calibri"/>
          <w:b w:val="0"/>
          <w:color w:val="3A4A28"/>
          <w:sz w:val="20"/>
        </w:rPr>
        <w:t>Natural gas facility development at the Merom site would diversify fuel mix, reduce regulatory risk from coal-specific EPA rules, and potentially attract data center co-location customers willing to pay premium rates for on-site reliable power [5]</w:t>
      </w:r>
    </w:p>
    <w:p>
      <w:pPr>
        <w:spacing w:before="40" w:after="40"/>
        <w:ind w:left="283"/>
      </w:pPr>
      <w:r>
        <w:rPr>
          <w:rFonts w:ascii="Calibri" w:hAnsi="Calibri"/>
          <w:b/>
          <w:color w:val="4A6B25"/>
          <w:sz w:val="20"/>
        </w:rPr>
        <w:t xml:space="preserve">3. </w:t>
      </w:r>
      <w:r>
        <w:rPr>
          <w:rFonts w:ascii="Calibri" w:hAnsi="Calibri"/>
          <w:b w:val="0"/>
          <w:color w:val="3A4A28"/>
          <w:sz w:val="20"/>
        </w:rPr>
        <w:t>Fortress balance sheet with D/E of 3.0% provides strategic optionality for accretive acquisitions of additional distressed power assets, facility modernization, or capital returns — management has significant financial flexibility with virtually no debt constraints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EPA environmental regulations including the Good Neighbor Plan and carbon emission standards could mandate costly retrofits ($100M+) or accelerate coal-fired plant retirement timelines, threatening the Merom station's operational viability and stranding the company's primary revenue-generating asset [4][6]</w:t>
      </w:r>
    </w:p>
    <w:p>
      <w:pPr>
        <w:spacing w:before="40" w:after="40"/>
        <w:ind w:left="283"/>
      </w:pPr>
      <w:r>
        <w:rPr>
          <w:rFonts w:ascii="Calibri" w:hAnsi="Calibri"/>
          <w:b/>
          <w:color w:val="4A6B25"/>
          <w:sz w:val="20"/>
        </w:rPr>
        <w:t xml:space="preserve">2. </w:t>
      </w:r>
      <w:r>
        <w:rPr>
          <w:rFonts w:ascii="Calibri" w:hAnsi="Calibri"/>
          <w:b w:val="0"/>
          <w:color w:val="3A4A28"/>
          <w:sz w:val="20"/>
        </w:rPr>
        <w:t>ESG-driven institutional divestment and insurer restrictions on fossil fuel companies could limit access to capital markets and insurance coverage, constraining Hallador's ability to finance the gas conversion or other capital projects even with minimal current leverage [4]</w:t>
      </w:r>
    </w:p>
    <w:p>
      <w:pPr>
        <w:spacing w:before="40" w:after="40"/>
        <w:ind w:left="283"/>
      </w:pPr>
      <w:r>
        <w:rPr>
          <w:rFonts w:ascii="Calibri" w:hAnsi="Calibri"/>
          <w:b/>
          <w:color w:val="4A6B25"/>
          <w:sz w:val="20"/>
        </w:rPr>
        <w:t xml:space="preserve">3. </w:t>
      </w:r>
      <w:r>
        <w:rPr>
          <w:rFonts w:ascii="Calibri" w:hAnsi="Calibri"/>
          <w:b w:val="0"/>
          <w:color w:val="3A4A28"/>
          <w:sz w:val="20"/>
        </w:rPr>
        <w:t>Seasonal and commodity-driven earnings volatility — Q1 2026 net loss (EPS -$0.20) and the 2024 $226.1M impairment-driven loss demonstrate the fragility of profitability in a coal-dependent model where power pricing fluctuates with weather patterns, natural gas prices, and wholesale electricity market dynamics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Hallador's core business — generating electricity at a 1,080 MW coal-fired plant and mining coal in the Illinois Basin — involves physical-world operations that AI structurally cannot displace [3][4]. AI data center buildout is actively increasing demand for reliable, dispatchable baseload power in the MISO grid region, making Hallador a potential beneficiary rather than a victim of AI expansion. The company's physical infrastructure (power plant, coal mines, grid interconnections) cannot be replicated by software. While AI-driven grid optimization could theoretically reduce reliance on coal baseload by improving renewable integration, this is a gradual, decade-long transition, not a near-term disruption threat. AI Opportunity (0/1): Hallador does not generate revenue from AI products or services. The company is exploring AI tool deployment internally (per executive compensation metrics) and could potentially serve AI data center customers at its Merom site, but no AI-related revenue has been quantified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Hallador Energy Company — Fourth Quarter and Full Year 2025 Financial and Operating Results, March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HNRG Statistics, Valuation, and Financial Overview,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Hallador Energy Company Website — Mission, Leadership, and Merom Generating Station Overview,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Minichart.com — 'Hallador Energy Company 2025 Annual Report: Business Overview, Risk Factors, and Regulatory Compliance,' March 2026</w:t>
      </w:r>
    </w:p>
    <w:p>
      <w:pPr>
        <w:spacing w:before="20" w:after="20"/>
        <w:ind w:left="170"/>
      </w:pPr>
      <w:r>
        <w:rPr>
          <w:rFonts w:ascii="Calibri" w:hAnsi="Calibri"/>
          <w:b/>
          <w:color w:val="4A6B25"/>
          <w:sz w:val="15"/>
        </w:rPr>
        <w:t xml:space="preserve">5. </w:t>
      </w:r>
      <w:r>
        <w:rPr>
          <w:rFonts w:ascii="Calibri" w:hAnsi="Calibri"/>
          <w:b w:val="0"/>
          <w:color w:val="3A4A28"/>
          <w:sz w:val="17"/>
        </w:rPr>
        <w:t>TipRanks — 'Hallador Energy Adopts 2026 Executive Compensation and Incentive Plan,' January 2026</w:t>
      </w:r>
    </w:p>
    <w:p>
      <w:pPr>
        <w:spacing w:before="20" w:after="20"/>
        <w:ind w:left="170"/>
      </w:pPr>
      <w:r>
        <w:rPr>
          <w:rFonts w:ascii="Calibri" w:hAnsi="Calibri"/>
          <w:b/>
          <w:color w:val="4A6B25"/>
          <w:sz w:val="15"/>
        </w:rPr>
        <w:t xml:space="preserve">6. </w:t>
      </w:r>
      <w:r>
        <w:rPr>
          <w:rFonts w:ascii="Calibri" w:hAnsi="Calibri"/>
          <w:b w:val="0"/>
          <w:color w:val="3A4A28"/>
          <w:sz w:val="17"/>
        </w:rPr>
        <w:t>SEC Filing — Hallador Energy 10-K Annual Report, Environmental and Regulatory Risk Factors,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