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HPK</w:t>
      </w:r>
      <w:r>
        <w:rPr>
          <w:rFonts w:ascii="Calibri" w:hAnsi="Calibri"/>
          <w:b/>
          <w:color w:val="1A2010"/>
          <w:sz w:val="40"/>
        </w:rPr>
        <w:t xml:space="preserve">  HighPeak Energy, Inc.</w:t>
      </w:r>
    </w:p>
    <w:p>
      <w:pPr>
        <w:spacing w:after="120"/>
      </w:pPr>
      <w:r>
        <w:rPr>
          <w:rFonts w:ascii="Calibri" w:hAnsi="Calibri"/>
          <w:b/>
          <w:color w:val="6E8450"/>
          <w:sz w:val="18"/>
        </w:rPr>
        <w:t>GROWTH SLEEVE · 2026-08-09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HighPeak Energy, Inc. is an independent crude oil and natural gas company focused on the acquisition, development, exploration, and exploitation of unconventional crude oil and natural gas reserves in the Midland Basin of West Texas, part of the Permian Basin. The company produced 48.3 MBoe/d in FY2025 (68% crude oil, 85% liquids) and held 174 MMBoe of proved reserves. Founder and CEO Jack Hightower retired in September 2025; Michael L. Hollis succeeded him as Interim CEO. Insiders own approximately 78.9% of outstanding shares. Headquartered in Fort Worth, Texas.</w:t>
      </w:r>
    </w:p>
    <w:p>
      <w:r>
        <w:rPr>
          <w:rFonts w:ascii="Calibri" w:hAnsi="Calibri"/>
          <w:b/>
          <w:color w:val="6E8450"/>
          <w:sz w:val="18"/>
        </w:rPr>
        <w:t>https://www.highpeakenergy.com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HighPeak built a significant Midland Basin position from scratch after formation in 2019-2020, reaching peak production of 48.3 MBoe/d and over $1B in annual revenue by 2023 [1]. This represents successful execution in shale resource development, but it is standard E&amp;P activity — horizontal drilling in the Permian Basin — not innovative business model transformation or product launches. AI Deployment (0/2): No AI deployment evident. HighPeak is a traditional E&amp;P operator focused on drilling and completing wells. No AI-driven operational optimization or AI-powered products have been announced. Market Share (0/2): HighPeak is a small player in the massive Permian Basin, competing against majors like Chevron, ExxonMobil (Pioneer Natural Resources), and ConocoPhillips. The company holds no meaningful market share in any category [2]. Product Pipeline (1/2): 174 MMBoe of proved reserves provide multi-year production visibility. The 2026 plan for approximately 30 wells with a single rig and frac crew provides near-term activity visibility [1]. However, the company is deliberately scaling back — cutting capex by nearly 50% and guiding for lower production of 41-44 MBoe/d in 2026. R&amp;D Intensity (0/1): E&amp;P companies do not have meaningful R&amp;D spending. HighPeak's competitive advantage lies in acreage position and operational execution, not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HighPeak's purpose is focused on developing Midland Basin oil and gas assets to create shareholder value. The mission statement is standard E&amp;P industry language about responsible resource development. No distinctive purpose articulated beyond the financial objective of extracting hydrocarbons profitably [3]. Community Impact (0/2): No evidence of meaningful community programs, charitable initiatives, or philanthropic investment beyond standard industry practices. The company has an ESG Committee on its board but Sustainalytics rates its ESG management as weak [5]. Employee Retention (1/2): The founding team of Jack Hightower and Michael Hollis worked together since the company's inception, providing leadership stability. Hollis has been President since 2020 and served over 25 years in oil and gas [3]. Average board tenure of 5.3 years is adequate for a young company. However, the CEO transition in September 2025 introduces uncertainty. Insider Buying (2/2): Former CEO Jack Hightower purchased $2.8M worth of HPK stock at $15.45-15.47 per share in August-September 2025, demonstrating exceptional personal conviction [4]. Insider ownership of 78.9% is extraordinarily high, aligning management interests deeply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HighPeak's D/E ratio of 63% is within the target of 70% or below, reflecting manageable leverage with $51.6M cash against $1.02B in debt [2]. Forward P/E of 13.49 is well below the 20 target, suggesting undervaluation relative to current earnings power. However, revenue is declining — TTM revenue of approximately $882M is down roughly 17% from FY2024's $1.06B — as the company deliberately cuts capex by 50% and production from 48.3 to 41-44 MBoe/d [1]. ROE of 7.85% is modest against the 15% target, dragged down by FY2025 net income of only $19M on $1B+ in assets. Profit margin of 12.03% reflects both lower oil prices and the company's cost structure. The stock has declined 47% over the past 52 weeks, reflecting market concern about declining production and commodity price exposure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HighPeak is a finite game player in Sinek's framework. The company was built to exploit Midland Basin oil and gas assets — a depletable resource with a defined endpoint — and optimize shareholder returns. There is no articulated vision beyond hydrocarbon extraction. The 78.9% insider ownership creates deep alignment but also concentration risk. The 2026 pivot to free cash flow and debt reduction over production growth is prudent capital allocation but not evidence of infinite thinking — it is a survival adaptation to lower oil prices and declining well productivity.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HighPeak exists to develop Midland Basin crude oil and natural gas reserves for shareholder value. There is no articulated Just Cause — no vision of a future state beyond extracting and selling hydrocarbons profitably [3]. The company does not articulate why it exists beyond making money. Energy production serves a real economic need, but HighPeak does not frame its purpose around energy security, community development, or any cause larger than resource extraction and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founding partnership between Jack Hightower and Michael Hollis, working together since the company's inception, suggests a functional leadership dynamic. Hollis's promotion to Interim CEO after Hightower's retirement was orderly and drew on 25+ years of industry experience [3]. The extraordinarily high 78.9% insider ownership creates deep alignment between leadership and shareholders. However, 'Interim' CEO title suggests permanent leadership is unresolved, and the company is too small and young for meaningful cultural assessment.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HighPeak acknowledges or learns from competitors' strengths. As a small Permian Basin operator competing against massive integrated majors, the company's competitive language focuses on per-well economics and operational efficiency — standard industry optimization — rather than learning from rivals' approaches or using competitive pressure for strategic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HighPeak is a single-basin, single-commodity E&amp;P company with no demonstrated strategic flexibility. The company has operated exclusively in the Midland Basin since formation, developing conventional horizontal wells [1]. The 2026 shift to lower capex and single-rig operations is a defensive contraction, not a strategic pivot. There is no evidence of exploration into adjacent businesses, energy transition investments, or business model evolution.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cut capex by nearly 50% in 2026, reducing from multi-rig to single-rig operations and guiding production down from 48.3 to 41-44 MBoe/d, demonstrates willingness to sacrifice near-term revenue and production growth for financial sustainability and debt reduction [1]. Jack Hightower's $2.8M personal stock purchase at $15.45 per share — buying when the stock was already declining — shows leadership conviction [4]. However, these decisions are reactive to commodity price pressure rather than proactive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HighPeak Energy offers deep value exposure to Permian Basin oil with an extraordinarily aligned management team — 78.9% insider ownership and the former CEO's $2.8M personal stock purchase at $15.45 signal conviction that the stock is undervalued relative to reserve value [4]. The company holds 174 MMBoe of proved reserves, produced 48.3 MBoe/d in FY2025 (68% crude oil), and trades at an enterprise value of approximately $2.1B — roughly $12/Boe of proved reserves [1][2]. The forward P/E of 13.49 and D/E of 63% suggest reasonable valuation and manageable leverage. The 2026 pivot to free cash flow generation and debt reduction through a single-rig program is a prudent response to commodity price volatility.</w:t>
      </w:r>
    </w:p>
    <w:p>
      <w:pPr>
        <w:spacing w:after="120"/>
      </w:pPr>
      <w:r>
        <w:rPr>
          <w:rFonts w:ascii="Calibri" w:hAnsi="Calibri"/>
          <w:b w:val="0"/>
          <w:color w:val="3A4A28"/>
          <w:sz w:val="20"/>
        </w:rPr>
        <w:t>The core risk is declining production and revenue in a commodity business with no pricing power. Revenue has fallen from $1.11B in 2023 to a TTM of approximately $882M, a decline of roughly 21% driven by both lower oil prices and deliberate capex reduction [1][2]. FY2025 net income of only $19M on $1B+ in assets represents thin profitability that could turn to losses in a sustained commodity downturn. The $1.02B debt burden, while manageable at 63% D/E, requires sustained production and commodity prices to service. The CEO transition from founder Hightower to Interim CEO Hollis introduces leadership uncertainty — 'Interim' suggests the board is still searching for permanent leadership [3]. The stock's 47% decline over the past 52 weeks reflects market skepticism about the production trajectory, and Sustainalytics rates ESG management as weak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free cash flow generation in 2026 enabling meaningful debt reduction from the $1.02B current balance, potentially improving the equity story and re-rating the stock</w:t>
      </w:r>
    </w:p>
    <w:p>
      <w:pPr>
        <w:spacing w:before="40" w:after="40"/>
        <w:ind w:left="283"/>
      </w:pPr>
      <w:r>
        <w:rPr>
          <w:rFonts w:ascii="Calibri" w:hAnsi="Calibri"/>
          <w:b/>
          <w:color w:val="4A6B25"/>
          <w:sz w:val="20"/>
        </w:rPr>
        <w:t xml:space="preserve">2. </w:t>
      </w:r>
      <w:r>
        <w:rPr>
          <w:rFonts w:ascii="Calibri" w:hAnsi="Calibri"/>
          <w:b w:val="0"/>
          <w:color w:val="3A4A28"/>
          <w:sz w:val="20"/>
        </w:rPr>
        <w:t>Oil price recovery above $80/bbl would dramatically improve margins and cash flow on the 41-44 MBoe/d guided production, with the 68% crude oil mix providing strong leverage to WTI</w:t>
      </w:r>
    </w:p>
    <w:p>
      <w:pPr>
        <w:spacing w:before="40" w:after="40"/>
        <w:ind w:left="283"/>
      </w:pPr>
      <w:r>
        <w:rPr>
          <w:rFonts w:ascii="Calibri" w:hAnsi="Calibri"/>
          <w:b/>
          <w:color w:val="4A6B25"/>
          <w:sz w:val="20"/>
        </w:rPr>
        <w:t xml:space="preserve">3. </w:t>
      </w:r>
      <w:r>
        <w:rPr>
          <w:rFonts w:ascii="Calibri" w:hAnsi="Calibri"/>
          <w:b w:val="0"/>
          <w:color w:val="3A4A28"/>
          <w:sz w:val="20"/>
        </w:rPr>
        <w:t>Permanent CEO appointment and strategic clarity on capital allocation — whether to remain a single-basin operator, pursue acquisitions, or consider a sale to a larger Permian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weakness below $65/bbl could push the company toward losses given the thin FY2025 net income of $19M and $1.02B debt burden requiring ongoing servicing</w:t>
      </w:r>
    </w:p>
    <w:p>
      <w:pPr>
        <w:spacing w:before="40" w:after="40"/>
        <w:ind w:left="283"/>
      </w:pPr>
      <w:r>
        <w:rPr>
          <w:rFonts w:ascii="Calibri" w:hAnsi="Calibri"/>
          <w:b/>
          <w:color w:val="4A6B25"/>
          <w:sz w:val="20"/>
        </w:rPr>
        <w:t xml:space="preserve">2. </w:t>
      </w:r>
      <w:r>
        <w:rPr>
          <w:rFonts w:ascii="Calibri" w:hAnsi="Calibri"/>
          <w:b w:val="0"/>
          <w:color w:val="3A4A28"/>
          <w:sz w:val="20"/>
        </w:rPr>
        <w:t>Declining production from 48.3 MBoe/d to guided 41-44 MBoe/d with 50% capex cuts signals depletion of current well inventory economics — if base decline rates accelerate, the single-rig program may not maintain even the lower production target</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with Michael Hollis serving as Interim CEO since September 2025 — 11 months without a permanent appointment suggests board indecision, and any misstep in capital allocation or operational execution during this period could erode the reserve value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Oil and gas extraction from the Permian Basin is a fundamentally physical operation — drilling wells, hydraulic fracturing, producing and transporting hydrocarbons — that AI structurally cannot substitute [1]. The geological expertise, physical infrastructure (drilling rigs, completion crews, pipelines, processing facilities), and regulatory compliance required for E&amp;P operations are entirely beyond AI's reach. AI is more likely to increase energy demand — data centers powering AI workloads are projected to consume enormous amounts of electricity, some of which will be generated from natural gas, potentially benefiting producers like HighPeak. AI could also modestly improve operational efficiency through predictive maintenance, reservoir modeling, and completion optimization, but this is incremental, not transformative. AI Opportunity (0/1): No AI revenue. HighPeak is a pure-play oil and gas producer with no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TipRanks — 'HighPeak Energy Unveils 2025 Results and 2026 Outlook,'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Yahoo Finance — HPK Key Statistics, Revenue,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HighPeakEnergy.com — Management Team, Company Overview; Seeking Alpha — 'HighPeak Energy: Restructuring Leadership and Operations'</w:t>
      </w:r>
    </w:p>
    <w:p>
      <w:pPr>
        <w:spacing w:before="20" w:after="20"/>
        <w:ind w:left="170"/>
      </w:pPr>
      <w:r>
        <w:rPr>
          <w:rFonts w:ascii="Calibri" w:hAnsi="Calibri"/>
          <w:b/>
          <w:color w:val="4A6B25"/>
          <w:sz w:val="15"/>
        </w:rPr>
        <w:t xml:space="preserve">4. </w:t>
      </w:r>
      <w:r>
        <w:rPr>
          <w:rFonts w:ascii="Calibri" w:hAnsi="Calibri"/>
          <w:b w:val="0"/>
          <w:color w:val="3A4A28"/>
          <w:sz w:val="17"/>
        </w:rPr>
        <w:t>Barchart.com — '1 Small Cap Energy Dividend Stock with Insider Buying Activity,' August-September 2025</w:t>
      </w:r>
    </w:p>
    <w:p>
      <w:pPr>
        <w:spacing w:before="20" w:after="20"/>
        <w:ind w:left="170"/>
      </w:pPr>
      <w:r>
        <w:rPr>
          <w:rFonts w:ascii="Calibri" w:hAnsi="Calibri"/>
          <w:b/>
          <w:color w:val="4A6B25"/>
          <w:sz w:val="15"/>
        </w:rPr>
        <w:t xml:space="preserve">5. </w:t>
      </w:r>
      <w:r>
        <w:rPr>
          <w:rFonts w:ascii="Calibri" w:hAnsi="Calibri"/>
          <w:b w:val="0"/>
          <w:color w:val="3A4A28"/>
          <w:sz w:val="17"/>
        </w:rPr>
        <w:t>Sustainalytics — HighPeak Energy ESG Risk Rating; Yahoo Finance — HPK ESG Ratings and Proxy Statement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