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HQY</w:t>
      </w:r>
      <w:r>
        <w:rPr>
          <w:rFonts w:ascii="Calibri" w:hAnsi="Calibri"/>
          <w:b/>
          <w:color w:val="1A2010"/>
          <w:sz w:val="40"/>
        </w:rPr>
        <w:t xml:space="preserve">  HealthEquity, Inc.</w:t>
      </w:r>
    </w:p>
    <w:p>
      <w:pPr>
        <w:spacing w:after="120"/>
      </w:pPr>
      <w:r>
        <w:rPr>
          <w:rFonts w:ascii="Calibri" w:hAnsi="Calibri"/>
          <w:b/>
          <w:color w:val="6E8450"/>
          <w:sz w:val="18"/>
        </w:rPr>
        <w:t>GROWTH SLEEVE · 2026-08-09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HealthEquity, Inc. is the largest independent health savings account (HSA) custodian in the United States, administering over 9 million HSAs with $37.1 billion in total assets. The company provides a full suite of tax-advantaged benefit accounts including HSAs, FSAs, HRAs, COBRA, and commuter benefits, connecting health and wealth for employers and individuals. Founded in 2002, headquartered in Draper, Utah.</w:t>
      </w:r>
    </w:p>
    <w:p>
      <w:r>
        <w:rPr>
          <w:rFonts w:ascii="Calibri" w:hAnsi="Calibri"/>
          <w:b/>
          <w:color w:val="6E8450"/>
          <w:sz w:val="18"/>
        </w:rPr>
        <w:t>4,800 Employees · https://www.healthequity.com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HealthEquity has grown from $733.6M in FY2021 revenue to $1.31B in FY2026 (+78%), driven by organic HSA growth and the transformative WageWorks acquisition that expanded the platform from pure HSA administration into a comprehensive benefits suite covering FSAs, HRAs, COBRA, and commuter benefits [1][2]. However, the core business model remains fundamentally the same — custodial account administration. AI Deployment (1/2): The company has deployed AI-powered claims processing that has automated millions of dollars in reimbursements, improving member satisfaction while reducing operational costs [3]. Specific quantified savings have not been publicly disclosed beyond the claims automation. Market Share (2/2): HealthEquity is the largest independent HSA custodian with $37.1B in total HSA assets growing 19% YoY and over 9 million accounts, maintaining dominant market share against competitors like Fidelity and Optum Bank [1]. Product Pipeline (1/2): Management has articulated a vision to make HSAs as common as 401(k)s by 2030, with ongoing technology platform investments and the recently announced $1B share buyback expansion signaling confidence [1]. However, specific next-generation product launches with named timelines remain limited. R&amp;D Intensity (1/1): HealthEquity invests meaningfully in technology development as a fintech/healthtech platform, with the AI claims processing initiative and ongoing platform modernization demonstrating above-average tech investment for the benefits administration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HealthEquity's mission to 'save and improve lives by empowering healthcare consumers' connects the company's work to a meaningful health purpose, supported by the tagline 'Connecting Health &amp; Wealth' [4]. The mission is clear and identifies a specific audience (healthcare consumers), but it does not articulate a transformative vision — many health-fintech companies could claim similar language. Community Impact (1/2): The company publishes an annual 'Sustainably Purple' CSR report and has created PurplePAC and two new employee resource groups (Connections groups), indicating programmatic commitment to community engagement [5]. However, no specific dollar amounts or distinctive charitable programs were identified. Employee Retention (0/2): CEO Jon Kessler was named a Glassdoor Top CEO in 2021, but the company currently holds a 3.2/5 Glassdoor rating based on 944 reviews, with mixed employee sentiment citing concerns about AI replacing teammates and growing pains from acquisitions [3]. No specific retention or tenure data is available. Insider Buying (0/2): Net insider selling of approximately $26M over the last 12 months, with recent Form 144 filings showing planned sales by multiple executives — no evidence of meaningful insider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48% is well below the 70% target (score 1.0). ROE of 11.06% falls short of the 15% target but remains positive (score 0.74, 2x weight). Revenue growth YoY of 9.5% nearly meets the 10% target (score 0.98). 5-year revenue CAGR of approximately 12.3% exceeds the 10% target (score 1.0, 2x weight). Forward P/E of 21.45 slightly above the 20 target (score 0.96). Profit margin of 17.25% approaches the 20% target (score 0.86). Forward PEG of 1.41 moderately above the 1.0 target (score 0.80, 2x weight). Weighted sum 8.87/10 = 9. The company ended Q1 FY2027 with strong free cash flow of $487.6M TTM and returned $123M to shareholders through buybacks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HealthEquity demonstrates genuine purpose through its 'Connecting Health &amp; Wealth' vision and has shown consistency in its mission to democratize HSAs over two decades. The WageWorks acquisition showed strategic boldness, and CEO Kessler's long tenure provides leadership continuity. However, the company has not been tested through transformative crisis, the 3.2 Glassdoor rating suggests cultural challenges, and heavy insider selling signals finite-minded leadership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HealthEquity's purpose to 'make HSAs as common as 401(k)s by 2030' is a specific, measurable vision that connects the company's work to a broader cause — democratizing healthcare savings for American workers [4]. CEO Jon Kessler has led the company for over a decade with consistent strategic direction. However, the cause has not been tested through a true existential crisis or leadership transition, and the vision, while genuine, is more of a market-expansion goal than a world-changing Just Cause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HealthEquity's 'Purple culture' represents a distinctive effort to create organizational identity, with CEO Kessler citing the authenticity of the culture as a motivating factor [3][4]. The company has built employee resource groups and embraces remote-first work. However, the 3.2/5 Glassdoor rating and employee concerns about AI replacing teammates suggest the Circle of Safety has gaps — some employees do not feel secure about their long-term role in the organization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HealthEquity competes against formidable rivals including Fidelity Investments, Optum Bank (UnitedHealth), and HSA Bank (Webster Financial), and the company's competitive approach emphasizes differentiation through technology, service quality, and the breadth of its benefits platform rather than destructive competition [1]. Management commentary focuses on expanding the HSA market overall rather than taking share from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WageWorks acquisition ($2B) represented a meaningful strategic pivot from pure HSA custodian to comprehensive benefits platform, expanding into FSAs, HRAs, COBRA, and commuter benefits [2]. This was incremental rather than transformative — the company stayed in the tax-advantaged benefits space — but it required significant capital commitment and operational integration that expanded the company's identity beyond HSAs.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WageWorks acquisition in 2019 required taking on significant debt to acquire a larger competitor during a period of operational uncertainty at WageWorks (which was under SEC investigation at the time), demonstrating willingness to make a bold bet for long-term capability [2]. More recently, management invested in AI capabilities despite employee concerns, prioritizing long-term efficiency over short-term cultural comfort. However, $26M in net insider selling undermines the narrative of aligned leadership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HealthEquity delivered Q1 FY2027 revenue of $354.6M (+7% YoY) with adjusted EBITDA margin expanding to 46% and EPS of $0.82 (+34% YoY), prompting raised FY2027 guidance to $1.41-1.42B in revenue [1]. The infrastructure profile is strong: D/E of 48%, $487.6M in TTM free cash flow, and a dominant market position as the largest independent HSA custodian with $37.1B in assets growing 19% YoY. The secular tailwind of HSA adoption — management targets making HSAs as common as 401(k)s — provides a long runway for growth, and the company's custodial model generates durable, fee-based revenue with high switching costs [1][2].</w:t>
      </w:r>
    </w:p>
    <w:p>
      <w:pPr>
        <w:spacing w:after="120"/>
      </w:pPr>
      <w:r>
        <w:rPr>
          <w:rFonts w:ascii="Calibri" w:hAnsi="Calibri"/>
          <w:b w:val="0"/>
          <w:color w:val="3A4A28"/>
          <w:sz w:val="20"/>
        </w:rPr>
        <w:t>The primary risk is valuation compression: Forward P/E of 21.45 and PEG of 1.41 price in consistent execution, but revenue growth has decelerated from double-digits to 7-9.5% YoY, and the trailing P/E of 39x leaves limited margin of safety [2]. ROE of 11.06% is below the 15% target, suggesting the company's return profile does not yet justify the premium multiple. Heavy insider selling ($26M net in the last 12 months) raises questions about management's conviction at current prices [6]. Additionally, competitive pressure from Fidelity and Optum Bank — both with vast distribution networks and deeper technology budgets — could intensify, particularly as AI lowers barriers to building competitive benefits platforms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HSA adoption growth with $37.1B in total HSA assets expanding 19% YoY and management's vision to make HSAs as common as 401(k)s by 2030, providing multi-year compounding runway</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 46% with AI-powered claims automation driving further operating leverage as the custodial revenue base scales</w:t>
      </w:r>
    </w:p>
    <w:p>
      <w:pPr>
        <w:spacing w:before="40" w:after="40"/>
        <w:ind w:left="283"/>
      </w:pPr>
      <w:r>
        <w:rPr>
          <w:rFonts w:ascii="Calibri" w:hAnsi="Calibri"/>
          <w:b/>
          <w:color w:val="4A6B25"/>
          <w:sz w:val="20"/>
        </w:rPr>
        <w:t xml:space="preserve">3. </w:t>
      </w:r>
      <w:r>
        <w:rPr>
          <w:rFonts w:ascii="Calibri" w:hAnsi="Calibri"/>
          <w:b w:val="0"/>
          <w:color w:val="3A4A28"/>
          <w:sz w:val="20"/>
        </w:rPr>
        <w:t>Raised FY2027 guidance to $1.41-1.42B revenue and $1B share buyback authorization signaling management confidence in sustained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double-digits to 7-9.5% YoY creates valuation risk at a trailing P/E of 39x — any guidance miss could trigger multiple compression given the premium pricing</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intensification from Fidelity Investments and Optum Bank (UnitedHealth), both with deeper technology budgets and broader distribution networks, could erode market share in the HSA custodial space</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$26M over the last 12 months, including multiple executive sales in 2026, signals potential misalignment between management actions and shareholder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HealthEquity's core business — custodial HSA accounts, tax-advantaged savings administration, and regulatory compliance with IRS and ERISA requirements — is protected by significant regulatory barriers that AI cannot displace [1]. The company holds $37.1B in custodial assets requiring banking licenses, fiduciary obligations, and complex tax compliance that create structural moats. However, the service and technology layer (claims processing, member support, employer onboarding) faces competitive pressure from AI-enabled fintech platforms that could build superior user experiences at lower cost. Analysts are not flagging AI as an existential threat, but the benefits administration market could see margin compression as AI lowers barriers to entry for the platform layer [3]. AI Opportunity (1/1): HealthEquity is actively deploying AI-powered claims processing that has automated millions of dollars in reimbursements, demonstrating tangible AI-driven operational efficiencies and improving member satisfaction metrics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HealthEquity Q1 FY2027 Earnings Release — GlobeNewsWire, May 28, 2026</w:t>
      </w:r>
    </w:p>
    <w:p>
      <w:pPr>
        <w:spacing w:before="20" w:after="20"/>
        <w:ind w:left="170"/>
      </w:pPr>
      <w:r>
        <w:rPr>
          <w:rFonts w:ascii="Calibri" w:hAnsi="Calibri"/>
          <w:b/>
          <w:color w:val="4A6B25"/>
          <w:sz w:val="15"/>
        </w:rPr>
        <w:t xml:space="preserve">2. </w:t>
      </w:r>
      <w:r>
        <w:rPr>
          <w:rFonts w:ascii="Calibri" w:hAnsi="Calibri"/>
          <w:b w:val="0"/>
          <w:color w:val="3A4A28"/>
          <w:sz w:val="17"/>
        </w:rPr>
        <w:t>HealthEquity Q4 &amp; FY2026 Earnings Release — ir.healthequity.com, March 2026</w:t>
      </w:r>
    </w:p>
    <w:p>
      <w:pPr>
        <w:spacing w:before="20" w:after="20"/>
        <w:ind w:left="170"/>
      </w:pPr>
      <w:r>
        <w:rPr>
          <w:rFonts w:ascii="Calibri" w:hAnsi="Calibri"/>
          <w:b/>
          <w:color w:val="4A6B25"/>
          <w:sz w:val="15"/>
        </w:rPr>
        <w:t xml:space="preserve">3. </w:t>
      </w:r>
      <w:r>
        <w:rPr>
          <w:rFonts w:ascii="Calibri" w:hAnsi="Calibri"/>
          <w:b w:val="0"/>
          <w:color w:val="3A4A28"/>
          <w:sz w:val="17"/>
        </w:rPr>
        <w:t>HealthEquity Glassdoor Reviews and AI Innovation Coverage — Glassdoor,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HealthEquity Mission, Culture, and Awards — healthequity.com, Indeed, 2026</w:t>
      </w:r>
    </w:p>
    <w:p>
      <w:pPr>
        <w:spacing w:before="20" w:after="20"/>
        <w:ind w:left="170"/>
      </w:pPr>
      <w:r>
        <w:rPr>
          <w:rFonts w:ascii="Calibri" w:hAnsi="Calibri"/>
          <w:b/>
          <w:color w:val="4A6B25"/>
          <w:sz w:val="15"/>
        </w:rPr>
        <w:t xml:space="preserve">5. </w:t>
      </w:r>
      <w:r>
        <w:rPr>
          <w:rFonts w:ascii="Calibri" w:hAnsi="Calibri"/>
          <w:b w:val="0"/>
          <w:color w:val="3A4A28"/>
          <w:sz w:val="17"/>
        </w:rPr>
        <w:t>HealthEquity Corporate Social Responsibility Report 'Sustainably Purple' — ir.healthequity.com, 2025</w:t>
      </w:r>
    </w:p>
    <w:p>
      <w:pPr>
        <w:spacing w:before="20" w:after="20"/>
        <w:ind w:left="170"/>
      </w:pPr>
      <w:r>
        <w:rPr>
          <w:rFonts w:ascii="Calibri" w:hAnsi="Calibri"/>
          <w:b/>
          <w:color w:val="4A6B25"/>
          <w:sz w:val="15"/>
        </w:rPr>
        <w:t xml:space="preserve">6. </w:t>
      </w:r>
      <w:r>
        <w:rPr>
          <w:rFonts w:ascii="Calibri" w:hAnsi="Calibri"/>
          <w:b w:val="0"/>
          <w:color w:val="3A4A28"/>
          <w:sz w:val="17"/>
        </w:rPr>
        <w:t>HealthEquity Insider Transactions — StockTitan Form 144 Filings, Simply Wall 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