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HRB</w:t>
      </w:r>
      <w:r>
        <w:rPr>
          <w:rFonts w:ascii="Calibri" w:hAnsi="Calibri"/>
          <w:b/>
          <w:color w:val="1A2010"/>
          <w:sz w:val="40"/>
        </w:rPr>
        <w:t xml:space="preserve">  H&amp;R Block, Inc.</w:t>
      </w:r>
    </w:p>
    <w:p>
      <w:pPr>
        <w:spacing w:after="120"/>
      </w:pPr>
      <w:r>
        <w:rPr>
          <w:rFonts w:ascii="Calibri" w:hAnsi="Calibri"/>
          <w:b/>
          <w:color w:val="6E8450"/>
          <w:sz w:val="18"/>
        </w:rPr>
        <w:t>DIVIDEND SLEEVE · 2026-07-14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Personal Services · NYSE · United States</w:t>
      </w:r>
    </w:p>
    <w:p>
      <w:pPr>
        <w:spacing w:after="80"/>
      </w:pPr>
      <w:r>
        <w:rPr>
          <w:rFonts w:ascii="Calibri" w:hAnsi="Calibri"/>
          <w:b w:val="0"/>
          <w:color w:val="3A4A28"/>
          <w:sz w:val="20"/>
        </w:rPr>
        <w:t>H&amp;R Block, Inc. is the largest U.S. tax preparation company, serving 20+ million clients globally across ~9,000 retail locations and digital platforms. Founded in 1955, HRB provides assisted and DIY tax preparation, financial products (Emerald Card, Spruce mobile banking), and small business solutions (Wave). The company operates through U.S. Tax Preparation, International, and Wave segments, with 60,000+ seasonal tax professionals during tax season.</w:t>
      </w:r>
    </w:p>
    <w:p>
      <w:r>
        <w:rPr>
          <w:rFonts w:ascii="Calibri" w:hAnsi="Calibri"/>
          <w:b/>
          <w:color w:val="6E8450"/>
          <w:sz w:val="18"/>
        </w:rPr>
        <w:t>4,300 Employees · https://www.hrblock.com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'Block Horizons 2025' strategy delivered Wave small business ($109M FY2025 revenue), Spruce mobile banking (476,000 sign-ups, approaching $1B in deposits), and expanded financial products [1]. Featured in a 2024 Harvard Business School case study on 'Driving Transformation.' But fundamentally, HRB remains a tax preparation company -- no transformative pivot in business model. AI Deployment (2/2): OpenAI partnership (April 2025) deploying generative AI across 60,000+ tax professionals, combining OpenAI models with HRB's Tax Institute content. AI Tax Assist deployed across all DIY and assisted products for Tax Season 2026. Q3 FY2026 showed 5.3% revenue growth and 'meaningfully improved assisted market share,' suggesting AI is delivering measurable results [2]. Market Share (2/2): #1 US tax preparation brand with ~20M clients globally, ~9,000 locations, and a 71-year history. Q3 FY2026 management noted 'assisted market share trend improved meaningfully after several years of pressure,' demonstrating category leadership defense [1]. Product Pipeline (1/2): AI Tax Assist expansion, Wave growth (+13.2% Q1 FY2026), Spruce banking. But specific next-gen products with timelines are limited. R&amp;D Intensity (0/1): Tax preparation is not R&amp;D-intensive; technology spending is moderate.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'To provide help and inspire confidence in our clients and communities everywhere.' Clear, identifies purpose around financial confidence beyond tax season [3]. However, the FTC's $7M settlement (January 2025) for deceptive downgrading practices -- forcing customers to call to downgrade, deleting entered tax data when customers attempted to downgrade -- directly contradicts the mission of 'helping' clients [4]. Community Impact (1/2): 'Fund Her Future' inaugural women's business grant program ($100K), 'Make Every Block Better' community engagement, Spruce for financial inclusion. Specific programs but modest scale relative to $3.9B revenue [3]. Employee Retention (0/2): 4,300 core employees plus 60,000+ seasonal workforce. Comparably leadership score of 66/100 (bottom 45% of large companies). Glassdoor reviews cite 'threats of firing' at some locations. Seasonal model inherently creates high turnover [2]. Insider Buying (0/2): Outgoing CEO Jones: 9 sells, 0 buys over 5 years, including $8.2M pre-retirement liquidation. Net insider selling of -$27M over last 2 years. New CEO Campbell has only routine tax-withholding dispositions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ROE excluded due to near-zero equity ($88.9M, distorted by cumulative $4.5B+ in share buybacks since 2016). D/E of ~1679% ($1.49B debt vs $88.9M equity) scores 0, but this is an accounting artifact -- debt/EBITDA of 1.48 and interest coverage of 11.15x demonstrate healthy leverage [1][5]. FY2025 revenue of $3.761B (up 4.2%) with net income of $605.8M and adj EPS of $4.42. Q3 FY2026 revenue of $2.4B (up 5.3%) and adj EPS of $6.02 (up 11.9%) prompted raised guidance to $3.91-3.92B revenue and adj EPS of $5.10-5.20 [1]. Forward P/E of 6.64 and PEG of 0.53 are deeply attractive. Profit margin of 18.9% and TTM FCF of $760.9M ($6.00/share). Dividend of $1.68/share (4.11% yield, 29.9% payout) with 63 consecutive years of quarterly payments (since 1962), 10 consecutive years of growth, and 8%+ 5-year CAGR. Total shareholder yield of 9.8% (4.1% dividend + 5.7% buyback)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H&amp;R Block has institutional continuity through 71 years of tax preparation and 63 consecutive years of quarterly dividends, demonstrating organizational durability. The CEO transition from Jones to Campbell was orderly with an 18-month advisory overlap. However, the FTC settlement for deceptive customer practices, the seasonal workforce model, and the focus on share buybacks and quarterly earnings metrics suggest a company that optimizes for financial results over mission advancement. The OpenAI partnership and 'force multiplier' framing show strategic adaptation but not cause-driven transformation.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'Provide help and inspire confidence in our clients and communities everywhere' is a genuine purpose statement. However, the FTC's $7M settlement for deceptive downgrading practices -- making it deliberately difficult for customers to switch to cheaper products and deleting their data when they tried -- directly undermines the claimed purpose of 'helping' clients [3][4]. A Just Cause that is contradicted by documented customer-hostile business practices cannot earn more than 1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transition from Jones to Campbell was orderly with Board unanimity and an 18-month advisory overlap. 'Record-high associate engagement' during the Jones era [3]. But the seasonal workforce model (4,300 core + 60,000 seasonal) inherently limits trust-building. Comparably leadership score of 66/100 (bottom 45%) and Glassdoor mentions of 'threats of firing' suggest uneven trust across the organization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HRB's competitive strategy focuses on self-improvement rather than defeating Intuit/TurboTax. The OpenAI partnership and 'force multiplier for its human expertise' framing suggest competing through capability enhancement [2]. CFO noted 'progress with higher complexity clients' -- competing by moving upmarket rather than fighting a price war on simple returns. New CEO Campbell's background at both Intuit and TaxAct suggests competitive self-awareness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HRB evolved from pure in-person tax preparation to digital/AI-augmented services, acquired Wave for small business ($109M revenue), and launched Spruce mobile banking for financial inclusion. The OpenAI partnership represents a meaningful strategic shift [1][2]. These are incremental evolutions of the same business model rather than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Jones invested in Wave, Spruce, and the OpenAI partnership during a period of declining assisted market share, betting on human+AI rather than retreating from technology. $400M quarterly buybacks at $50.90/share during a 27% stock decline shows conviction [1]. However, the FTC settlement reveals customer-unfriendly practices that contradict courageous leadership claims.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H&amp;R Block trades at a deeply discounted 6.64x forward P/E (PEG 0.53) with a 4.11% dividend yield backed by 63 consecutive years of quarterly payments and 10 years of consecutive growth [1][5]. Q3 FY2026 showed 5.3% revenue growth and adj EPS of $6.02 (up 11.9%), prompting raised guidance to $3.91-3.92B revenue and adj EPS of $5.10-5.20. TTM FCF of $760.9M ($6.00/share, 14.7% FCF yield) supports total shareholder yield of 9.8% through dividends and buybacks. The OpenAI partnership deploying AI across 60,000+ professionals 'meaningfully improved assisted market share' -- the first share gain reversal in several years -- validating the human+AI hybrid strategy [1][2].</w:t>
      </w:r>
    </w:p>
    <w:p>
      <w:pPr>
        <w:spacing w:after="120"/>
      </w:pPr>
      <w:r>
        <w:rPr>
          <w:rFonts w:ascii="Calibri" w:hAnsi="Calibri"/>
          <w:b w:val="0"/>
          <w:color w:val="3A4A28"/>
          <w:sz w:val="20"/>
        </w:rPr>
        <w:t>The existential risk is AI-driven automation making simple tax preparation a commodity, structurally threatening the $384M DIY segment and eventually the $2.4B assisted segment. Short interest of 15.49% (8 days to cover) reflects significant market concern about this thesis [1]. The FTC's $7M settlement for deceptive customer practices damages brand trust precisely when trust is the key competitive moat against AI alternatives [4]. D/E of 1679% ($1.49B debt vs $88.9M equity) is an accounting artifact from $4.5B in cumulative buybacks, but the eroded equity base limits financial flexibility in a downturn. CEO transition risk -- new CEO Campbell (January 2026) from TaxAct/Intuit background inherits a business facing its most significant competitive transformation since online tax filing. The 27% stock decline over 52 weeks suggests the market is pricing in structural disruption risk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OpenAI partnership scaling from Tax Season 2026 pilot to full deployment across all assisted and DIY products, potentially driving further assisted market share gains and margin expansion through professional productivity improvements [2]</w:t>
      </w:r>
    </w:p>
    <w:p>
      <w:pPr>
        <w:spacing w:before="40" w:after="40"/>
        <w:ind w:left="283"/>
      </w:pPr>
      <w:r>
        <w:rPr>
          <w:rFonts w:ascii="Calibri" w:hAnsi="Calibri"/>
          <w:b/>
          <w:color w:val="4A6B25"/>
          <w:sz w:val="20"/>
        </w:rPr>
        <w:t xml:space="preserve">2. </w:t>
      </w:r>
      <w:r>
        <w:rPr>
          <w:rFonts w:ascii="Calibri" w:hAnsi="Calibri"/>
          <w:b w:val="0"/>
          <w:color w:val="3A4A28"/>
          <w:sz w:val="20"/>
        </w:rPr>
        <w:t>Raised FY2026 guidance to $3.91-3.92B revenue and adj EPS of $5.10-5.20 (10.5% growth at midpoint), with an $84.1M one-time tax benefit from IRS examination resolution reducing effective tax rate to 14% [1]</w:t>
      </w:r>
    </w:p>
    <w:p>
      <w:pPr>
        <w:spacing w:before="40" w:after="40"/>
        <w:ind w:left="283"/>
      </w:pPr>
      <w:r>
        <w:rPr>
          <w:rFonts w:ascii="Calibri" w:hAnsi="Calibri"/>
          <w:b/>
          <w:color w:val="4A6B25"/>
          <w:sz w:val="20"/>
        </w:rPr>
        <w:t xml:space="preserve">3. </w:t>
      </w:r>
      <w:r>
        <w:rPr>
          <w:rFonts w:ascii="Calibri" w:hAnsi="Calibri"/>
          <w:b w:val="0"/>
          <w:color w:val="3A4A28"/>
          <w:sz w:val="20"/>
        </w:rPr>
        <w:t>New CEO Curtis Campbell's background at both Intuit (VP Product) and TaxAct (CEO) provides unique competitive intelligence and product innovation experience relevant to the AI transition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tax automation from TurboTax, ChatGPT, and emerging solutions structurally threatens the tax preparation business model -- short interest of 15.49% (8 days to cover) reflects significant market concern about long-term viability [1]</w:t>
      </w:r>
    </w:p>
    <w:p>
      <w:pPr>
        <w:spacing w:before="40" w:after="40"/>
        <w:ind w:left="283"/>
      </w:pPr>
      <w:r>
        <w:rPr>
          <w:rFonts w:ascii="Calibri" w:hAnsi="Calibri"/>
          <w:b/>
          <w:color w:val="4A6B25"/>
          <w:sz w:val="20"/>
        </w:rPr>
        <w:t xml:space="preserve">2. </w:t>
      </w:r>
      <w:r>
        <w:rPr>
          <w:rFonts w:ascii="Calibri" w:hAnsi="Calibri"/>
          <w:b w:val="0"/>
          <w:color w:val="3A4A28"/>
          <w:sz w:val="20"/>
        </w:rPr>
        <w:t>FTC $7M settlement (January 2025) for deceptive downgrading practices and active class action litigation damage the brand trust moat that differentiates HRB from AI alternatives [4]</w:t>
      </w:r>
    </w:p>
    <w:p>
      <w:pPr>
        <w:spacing w:before="40" w:after="40"/>
        <w:ind w:left="283"/>
      </w:pPr>
      <w:r>
        <w:rPr>
          <w:rFonts w:ascii="Calibri" w:hAnsi="Calibri"/>
          <w:b/>
          <w:color w:val="4A6B25"/>
          <w:sz w:val="20"/>
        </w:rPr>
        <w:t xml:space="preserve">3. </w:t>
      </w:r>
      <w:r>
        <w:rPr>
          <w:rFonts w:ascii="Calibri" w:hAnsi="Calibri"/>
          <w:b w:val="0"/>
          <w:color w:val="3A4A28"/>
          <w:sz w:val="20"/>
        </w:rPr>
        <w:t>D/E of 1679% and negative book value (-$0.19/share) from $4.5B cumulative buybacks mean any revenue disruption could strain the thin equity cushion, despite healthy interest coverage of 11.15x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Tax preparation faces genuine AI substitution risk. Simple tax returns (EZ, standard deductions) are increasingly automatable by AI tools from TurboTax/Intuit, ChatGPT, and emerging AI tax solutions. HRB's DIY segment ($384M) is directly exposed. However, the assisted segment ($2.4B) is partially protected by tax code complexity, annual regulatory changes, and client risk aversion around IRS compliance -- 'progress with higher complexity clients underscores the durability of our financial model' per CFO [1]. The FTC settlement demonstrates the regulatory complexity that creates moats around compliant tax preparation. HRB's own AI deployment (OpenAI partnership across 60,000+ professionals) helps defend the franchise by making human preparers more efficient rather than replaceable. Short interest of 15.49% reflects market concern about long-term viability [1][2]. AI Opportunity (1/1): AI Tax Assist deployed across all DIY and assisted products. OpenAI partnership generating measurable outcomes -- Tax Season 2026 showed 5.3% revenue growth and meaningfully improved assisted market share, partly attributed to AI enhancement of the human preparer model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H&amp;R Block FY2026 Q3 Results, Raised Guidance, and FY2025 Annual Results -- hrblock.com Investor Relations; SEC Filings, 2025-2026</w:t>
      </w:r>
    </w:p>
    <w:p>
      <w:pPr>
        <w:spacing w:before="20" w:after="20"/>
        <w:ind w:left="170"/>
      </w:pPr>
      <w:r>
        <w:rPr>
          <w:rFonts w:ascii="Calibri" w:hAnsi="Calibri"/>
          <w:b/>
          <w:color w:val="4A6B25"/>
          <w:sz w:val="15"/>
        </w:rPr>
        <w:t xml:space="preserve">2. </w:t>
      </w:r>
      <w:r>
        <w:rPr>
          <w:rFonts w:ascii="Calibri" w:hAnsi="Calibri"/>
          <w:b w:val="0"/>
          <w:color w:val="3A4A28"/>
          <w:sz w:val="17"/>
        </w:rPr>
        <w:t>H&amp;R Block OpenAI Partnership, AI Tax Assist Deployment, Glassdoor Reviews -- hrblock.com Newsroom; Comparably; Glassdoor, April 2025-2026</w:t>
      </w:r>
    </w:p>
    <w:p>
      <w:pPr>
        <w:spacing w:before="20" w:after="20"/>
        <w:ind w:left="170"/>
      </w:pPr>
      <w:r>
        <w:rPr>
          <w:rFonts w:ascii="Calibri" w:hAnsi="Calibri"/>
          <w:b/>
          <w:color w:val="4A6B25"/>
          <w:sz w:val="15"/>
        </w:rPr>
        <w:t xml:space="preserve">3. </w:t>
      </w:r>
      <w:r>
        <w:rPr>
          <w:rFonts w:ascii="Calibri" w:hAnsi="Calibri"/>
          <w:b w:val="0"/>
          <w:color w:val="3A4A28"/>
          <w:sz w:val="17"/>
        </w:rPr>
        <w:t>H&amp;R Block CEO Succession (Jones to Campbell), Mission Statement, ESG Report -- hrblock.com Investor Relations; Comparably; Fortune, 2024-2026</w:t>
      </w:r>
    </w:p>
    <w:p>
      <w:pPr>
        <w:spacing w:before="20" w:after="20"/>
        <w:ind w:left="170"/>
      </w:pPr>
      <w:r>
        <w:rPr>
          <w:rFonts w:ascii="Calibri" w:hAnsi="Calibri"/>
          <w:b/>
          <w:color w:val="4A6B25"/>
          <w:sz w:val="15"/>
        </w:rPr>
        <w:t xml:space="preserve">4. </w:t>
      </w:r>
      <w:r>
        <w:rPr>
          <w:rFonts w:ascii="Calibri" w:hAnsi="Calibri"/>
          <w:b w:val="0"/>
          <w:color w:val="3A4A28"/>
          <w:sz w:val="17"/>
        </w:rPr>
        <w:t>FTC Enforcement Action Against H&amp;R Block ($7M Settlement), Class Action Litigation -- FTC.gov, Kiplinger, LawFold, November 2024-January 2025</w:t>
      </w:r>
    </w:p>
    <w:p>
      <w:pPr>
        <w:spacing w:before="20" w:after="20"/>
        <w:ind w:left="170"/>
      </w:pPr>
      <w:r>
        <w:rPr>
          <w:rFonts w:ascii="Calibri" w:hAnsi="Calibri"/>
          <w:b/>
          <w:color w:val="4A6B25"/>
          <w:sz w:val="15"/>
        </w:rPr>
        <w:t xml:space="preserve">5. </w:t>
      </w:r>
      <w:r>
        <w:rPr>
          <w:rFonts w:ascii="Calibri" w:hAnsi="Calibri"/>
          <w:b w:val="0"/>
          <w:color w:val="3A4A28"/>
          <w:sz w:val="17"/>
        </w:rPr>
        <w:t>StockAnalysis.com, MarketBeat, Yahoo Finance -- HRB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