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HRZN</w:t>
      </w:r>
      <w:r>
        <w:rPr>
          <w:rFonts w:ascii="Calibri" w:hAnsi="Calibri"/>
          <w:b/>
          <w:color w:val="1A2010"/>
          <w:sz w:val="40"/>
        </w:rPr>
        <w:t xml:space="preserve">  Horizon Technology Finance Corp.</w:t>
      </w:r>
    </w:p>
    <w:p>
      <w:pPr>
        <w:spacing w:after="120"/>
      </w:pPr>
      <w:r>
        <w:rPr>
          <w:rFonts w:ascii="Calibri" w:hAnsi="Calibri"/>
          <w:b/>
          <w:color w:val="6E8450"/>
          <w:sz w:val="18"/>
        </w:rPr>
        <w:t>DIVIDEND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Horizon Technology Finance is a Business Development Company (BDC) that provides venture debt financing to technology, life sciences, healthcare IT, and sustainability companies. The company completed its merger with Monroe Capital Corporation in April 2026, significantly expanding its capital base and investment capacity. As of Q2 2026, HRZN manages a $677M debt investment portfolio yielding 14.9%, with $229M in available liquidity and $459M in total investment capacity. Trades on Nasdaq with a market cap of $311M at a significant discount to NAV of $6.23 per share.</w:t>
      </w:r>
    </w:p>
    <w:p>
      <w:r>
        <w:rPr>
          <w:rFonts w:ascii="Calibri" w:hAnsi="Calibri"/>
          <w:b/>
          <w:color w:val="6E8450"/>
          <w:sz w:val="18"/>
        </w:rPr>
        <w:t>50 Employees · https://www.horizontechfinance.com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April 2026 merger with Monroe Capital Corporation was Horizon's most significant strategic move in its 15-year history, transforming the company from a standalone venture lender into a subsidiary of a larger asset management platform with expanded investment capacity reaching $459M [1]. This is meaningful franchise expansion, though the venture lending business model itself is unchanged. Innovation in lending products is incremental — structured debt, warrants, and equity kickers are standard for venture lending. AI Deployment (0/2): No evidence of AI-powered products or quantified AI-driven efficiencies. Monroe Capital published a white paper on AI risk across software portfolios, showing awareness of AI disruption in portfolio companies, but no AI tools deployed internally for underwriting or portfolio monitoring [2]. Market Share (1/2): Horizon is a recognized player in technology venture lending with a 15-year track record and $677M portfolio, though it trails market leader Hercules Capital (HTGC) which manages $3.6B+ [1]. The Monroe merger improves competitive positioning through larger deal capacity and co-investment capabilities. Product Pipeline (0/2): Committed backlog of $228M (up $48M from Q1) provides near-term deployment visibility, but these are standard venture debt commitments, not innovative products [1]. R&amp;D Intensity (0/1): Not applicable for a financial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Horizon's purpose is providing venture debt to innovative technology and life sciences companies. This is a functional financial services mission — 'we lend money to startups' — with no articulated vision of a better future or deeper purpose beyond generating returns [3]. Every venture lender makes the same claim. Community Impact (0/2): No evidence of charitable programs, community investment, or social responsibility initiatives beyond the basic function of financing innovation companies. Employee Retention (0/2): No Glassdoor reviews available for Horizon Technology Finance specifically. With approximately 50 employees and a recent merger integration underway, no retention data is available to assess. Insider Buying (0/2): The board authorized $20M in share repurchases and the company bought ~1.4M shares at $4.54 average in Q2 2026, but this is corporate treasury activity, not personal insider buying [1]. No evidence of meaningful open-market purchases by CEO Balkin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6.46x is deeply discounted, scoring perfectly against the 20x target [3]. D/E of 97% is moderate for a BDC (where leverage is the business model) and scores well against the 300% floor. However, the dividend profile is severely impaired — the monthly distribution was slashed 45% from $0.11 to $0.06 per share in April 2026 following the Monroe merger, producing a 5-year dividend growth CAGR of approximately -10% [4]. GAAP payout ratio exceeds 700% ($0.72 annual dividend on $0.10 trailing EPS), though BDC economics differ from traditional companies — the $0.33/share undistributed spillover income partially supports the distribution. Profit margin of 5.3% is severely depressed by the $39M Soli investment write-down and $4.4M in merger expenses [1]. ROE of approximately 1.2% is well below the 15% target. The 16 consecutive years of dividend payments since the 2010 IPO score well at 2x weight, partially offsetting the weak growth and income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Horizon Technology Finance operates in a fundamentally finite-game context — generating quarterly distributable income for shareholders through leveraged venture lending. The Monroe merger, while strategically sensible, was driven by the need for scale in a competitive BDC landscape, not by a compelling vision. The 45% dividend cut immediately following the merger reveals finite-game priorities: restructuring the distribution to manage earnings expectations rather than investing through difficulty.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venture debt to innovative technology and life sciences companies could be framed as enabling innovation, but Horizon does not articulate it that way [3]. The company's messaging is focused on yield, returns, and portfolio quality — shareholder-first language that describes a financial returns vehicle, not a mission-driven organization. The Monroe merger positioning emphasizes 'enhanced capital for investments' and 'collaborative larger transactions,' not a vision for how venture lending makes the world better.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data is available. The company has approximately 50 employees and no Glassdoor reviews. The Monroe merger integration — with CEO Michael Balkin replacing the long-tenured Robert Pomeroy in 2024 — likely creates organizational uncertainty. The significant headcount overlap between two merging financial services organizations raises questions about team stability and psychological safety during integration.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Horizon competes with Hercules Capital, Trinity Capital, Western Technology Investment, and other venture lenders without visible acknowledgment of rivals' strengths or competitive learning. The Monroe merger is a scale play to compete more effectively, reflecting a 'grow to survive' finite-game approach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Monroe Capital merger in April 2026 transformed Horizon from a standalone venture lender into a subsidiary of a diversified credit platform, fundamentally changing the company's capital structure, investment capacity, and competitive positioning [1]. This is a genuine strategic evolution — giving up independence to gain scale and diversification. However, the core business model (venture lending for yield) is unchanged, and the merger was driven by competitive necessity rather than a cause-driven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Michael Balkin's decision to pursue the Monroe merger and reset the dividend 45% lower in April 2026 required accepting significant short-term pain — the stock dropped more than a third [4]. The share repurchase at $4.54 (well below NAV of $6.23) demonstrates conviction that the market is undervaluing the franchise post-merger [1]. However, the dividend cut was arguably forced by the merger's restructuring needs rather than a proactive choice to invest for the long term. The $39M write-down on the Soli investment raises questions about underwriting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Horizon Technology Finance at $4.64 trades at a 25.5% discount to NAV of $6.23 and 6.5x forward earnings, offering a deeply discounted entry into a 15-year venture lending franchise with 15.5% dividend yield [1][3]. The Monroe Capital merger expanded investment capacity to $459M with $229M in immediately available liquidity, positioning the combined platform for larger, more competitive deals. The committed pipeline of $228M (up 27% QoQ) and three consecutive quarters of funding growth signal recovering deployment momentum. Nine investments totaling $73M were funded in Q2, with 88% of the portfolio rated at the highest credit quality tiers. Undistributed spillover income of $0.33/share supports the $0.72 annual distribution, and special distributions of $0.03/month are planned for Q4 2026.</w:t>
      </w:r>
    </w:p>
    <w:p>
      <w:pPr>
        <w:spacing w:after="120"/>
      </w:pPr>
      <w:r>
        <w:rPr>
          <w:rFonts w:ascii="Calibri" w:hAnsi="Calibri"/>
          <w:b w:val="0"/>
          <w:color w:val="3A4A28"/>
          <w:sz w:val="20"/>
        </w:rPr>
        <w:t>The bear case is centered on distribution deterioration and execution risk. The 45% dividend cut from $0.11 to $0.06 monthly — announced alongside the Monroe merger — destroyed income credibility and drove a 35%+ stock price decline [4]. NII of $0.11/share in Q2 2026 (or $0.18 adjusted for merger costs) barely covers the $0.18 quarterly distribution, leaving no margin of safety. Portfolio yield compression from 15.8% to 14.9% with new investment onboarding at 12% suggests further NII pressure ahead [1]. The $39M write-down on the Soli investment ($20M equity + $19M debt) raises underwriting quality concerns. GAAP payout ratio exceeding 700% is unsustainable long-term even with BDC economics. Revenue declined 3.9% YoY in 2025, and ROE of 1.2% is well below the 15% target. The IOWN overall score of 36 reflects a company in transition with significant execution risk — the merger thesis must prove out through deployed capital and recovered NII before the income story is investable again.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NII recovery to $0.18-0.20/share quarterly by Q4 2026 as merger integration costs subside and the committed $228M pipeline deploys at portfolio-accretive yields, potentially restoring distribution coverage and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Monroe platform synergies enabling larger deal sizes and co-investments that were previously inaccessible to standalone Horizon, potentially improving portfolio diversification and competitive positioning against Hercules Capital</w:t>
      </w:r>
    </w:p>
    <w:p>
      <w:pPr>
        <w:spacing w:before="40" w:after="40"/>
        <w:ind w:left="283"/>
      </w:pPr>
      <w:r>
        <w:rPr>
          <w:rFonts w:ascii="Calibri" w:hAnsi="Calibri"/>
          <w:b/>
          <w:color w:val="4A6B25"/>
          <w:sz w:val="20"/>
        </w:rPr>
        <w:t xml:space="preserve">3. </w:t>
      </w:r>
      <w:r>
        <w:rPr>
          <w:rFonts w:ascii="Calibri" w:hAnsi="Calibri"/>
          <w:b w:val="0"/>
          <w:color w:val="3A4A28"/>
          <w:sz w:val="20"/>
        </w:rPr>
        <w:t>Share price recovery toward NAV of $6.23 (34% upside) as the discount narrows with improving NII and the $20M buyback program provides a price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Further dividend cuts if NII remains below $0.18/share quarterly — portfolio yield compression from 14.9% to onboarding rates of 12% structurally pressures income, and the $0.33/share spillover cushion is finite [1]</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beyond the $39M Soli write-down — the venture lending portfolio is concentrated in technology and life sciences startups, sectors facing elevated cash burn and fundraising challenges in the current environment [1]</w:t>
      </w:r>
    </w:p>
    <w:p>
      <w:pPr>
        <w:spacing w:before="40" w:after="40"/>
        <w:ind w:left="283"/>
      </w:pPr>
      <w:r>
        <w:rPr>
          <w:rFonts w:ascii="Calibri" w:hAnsi="Calibri"/>
          <w:b/>
          <w:color w:val="4A6B25"/>
          <w:sz w:val="20"/>
        </w:rPr>
        <w:t xml:space="preserve">3. </w:t>
      </w:r>
      <w:r>
        <w:rPr>
          <w:rFonts w:ascii="Calibri" w:hAnsi="Calibri"/>
          <w:b w:val="0"/>
          <w:color w:val="3A4A28"/>
          <w:sz w:val="20"/>
        </w:rPr>
        <w:t>Monroe merger integration disruption — new CEO Balkin, revised credit rating systems, expanded investment mandates, and headcount rationalization create execution risk during a period when portfolio deployment must accelerate to support the distribution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Venture lending involves relationship-intensive due diligence on technology startups, requiring deep domain expertise in evaluating complex business models, founder quality, unit economics, and technology risk [1]. Physical meetings, deal negotiation, and portfolio monitoring require human judgment that AI cannot fully replicate. Regulatory complexity (BDC rules, SEC compliance) adds structural barriers. However, AI could automate portions of credit assessment and portfolio monitoring, and AI-driven fintech platforms could eventually compete for deal flow in standardized venture lending. Monroe Capital's published white paper on AI risk across software portfolios shows the parent is actively assessing how AI affects portfolio company valuations — a legitimate concern given many portfolio companies are in sectors facing AI disruption [2]. AI Opportunity (0/1): No AI-generated revenue. The company does not deploy AI products to customers or use AI to generate measurable cost savings. Monroe's AI risk assessment is defensive, not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Horizon Technology Finance Q2 2026 Earnings Call — NII, Portfolio Metrics, Monroe Merger Impact, Soli Write-Down, Yahoo Finance /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Monroe Capital AI Risk White Paper and Horizon Technology Finance Leadership Profile — TheOrg, LinkedIn,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HRZN Key Statistics, Valuation, Dividend Yield, and Forward PE,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Horizon Technology Finance Dividend History — StockInvest.us, SureDividend, and MarketBeat,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