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HSBC</w:t>
      </w:r>
      <w:r>
        <w:rPr>
          <w:rFonts w:ascii="Calibri" w:hAnsi="Calibri"/>
          <w:b/>
          <w:color w:val="1A2010"/>
          <w:sz w:val="40"/>
        </w:rPr>
        <w:t xml:space="preserve">  HSBC Holdings plc</w:t>
      </w:r>
    </w:p>
    <w:p>
      <w:pPr>
        <w:spacing w:after="120"/>
      </w:pPr>
      <w:r>
        <w:rPr>
          <w:rFonts w:ascii="Calibri" w:hAnsi="Calibri"/>
          <w:b/>
          <w:color w:val="6E8450"/>
          <w:sz w:val="18"/>
        </w:rPr>
        <w:t>DIVIDEND SLEEVE · 2026-07-16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Kingdom</w:t>
      </w:r>
    </w:p>
    <w:p>
      <w:pPr>
        <w:spacing w:after="80"/>
      </w:pPr>
      <w:r>
        <w:rPr>
          <w:rFonts w:ascii="Calibri" w:hAnsi="Calibri"/>
          <w:b w:val="0"/>
          <w:color w:val="3A4A28"/>
          <w:sz w:val="20"/>
        </w:rPr>
        <w:t>HSBC Holdings is one of the world's largest banking and financial services organizations, serving approximately 41 million customers through its three global businesses: Wealth and Personal Banking, Commercial Banking, and Global Banking and Markets. Headquartered in London with its largest operations in Asia, HSBC operates in 60+ countries and territories. Under CEO Georges Elhedery (appointed 2024), the bank is executing a strategic transformation — exiting non-core markets including US retail, Canada, and France — to refocus on its dominant Asia-Pacific franchise and international trade finance network.</w:t>
      </w:r>
    </w:p>
    <w:p>
      <w:r>
        <w:rPr>
          <w:rFonts w:ascii="Calibri" w:hAnsi="Calibri"/>
          <w:b/>
          <w:color w:val="6E8450"/>
          <w:sz w:val="18"/>
        </w:rPr>
        <w:t>214,000 Employees · https://www.hsbc.com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HSBC has executed one of the most aggressive strategic transformations in global banking, exiting US retail (sold to Citizens Financial), Canada (sold to Royal Bank of Canada), and France (sold to Banque Postale) to refocus on its core Asia-Pacific and international banking franchise [1][2]. These divestitures involved billions in assets and fundamentally repositioned the bank's geographic and business mix. AI Deployment (1/2): HSBC appointed David Rice as its first Chief AI Officer effective April 2026, elevating AI from a technology function to a strategic priority — a structural commitment that separates HSBC from most global banks where AI sits under the CTO [2]. CEO Elhedery identified AI as a primary driver for achieving 17%+ RoTE targets, and the bank is deploying coding assistants and generative AI tools across operations, though specific dollar savings or AI product revenue have not been quantified. Market Share (1/2): HSBC is the world's largest trade finance bank and a leading wealth manager in Asia, with a dominant franchise in Hong Kong, China, and Southeast Asia that no competitor can easily replicate [1]. However, it is not the overall global banking market share leader (JPMorgan holds that distinction). Pipeline (1/2): HSBC targets 17%+ RoTE in each year from 2026-2028, 5% revenue growth by 2028, and has established a dedicated AI officer role to drive efficiency gains, providing strategic visibility without specific product-level pipeline detail [1]. R&amp;D Intensity (1/1): HSBC's appointment of a Chief AI Officer, bank-wide AI deployment, and technology investment budget exceed typical banking sector technology spend, placing the bank in the top tier for technology investment among global financial institutions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HSBC's stated purpose is 'Opening up a world of opportunity' — more distinctive than most banking peers and reflective of the company's role connecting global commerce across 60+ countries [2]. CEO Elhedery emphasizes 'leading by example' and 'integrity,' stating leaders must 'understand people.' The purpose connects meaningfully to HSBC's 160+ year history of facilitating international trade and capital flows. However, it remains aspirational language rather than a deeply validated cause proven through strategic sacrifice. Community Impact (1/2): HSBC operates in 60+ countries serving 41 million customers, with published ESG commitments to sustainable finance and net-zero transition, though no distinctive charitable foundation or community development programs beyond standard global bank CSR were identified [3]. Employee Retention (1/2): HSBC employs approximately 214,000 people globally. CEO Elhedery is implementing a bank-wide leadership program designed to 'make culture an enabler of strategy,' and the focus on instilling a 'culture of excellence, leadership and accountability' suggests organizational investment in people [2]. However, the CEO is new (appointed 2024) and no specific retention or tenure data was disclosed. Insider Buying (0/2): No specific data on net insider buying or selling by HSBC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HSBC delivers a strong financial profile anchored by the profitability of its Asia-Pacific franchise and successful strategic refocusing. Full-year 2025 profit before tax of $29.9B on $68.3B revenue (+3.7% YoY) with return on tangible equity of 17.2% demonstrates world-class banking profitability [1]. Forward P/E of 10.54x offers compelling valuation for a global bank targeting 17%+ RoTE through 2028. Net profit margin of 33.1% reflects HSBC's fee-rich business mix and disciplined cost management. The dividend, while rebuilt from a 2020 cut (forced by UK PRA regulation), now yields 4.03% with a 50% target payout ratio and 10% recent growth [4]. D/E of 155% is typical for a global bank's long-term borrowing structure. Mechanically scored (Dividend): D/E 155% scores 0.63 (1x), ROE 11.61% scores 0.77 (1x), Revenue Growth YoY 5.0% scores 0.83 (1x), Revenue Growth 5yr CAGR 4.0% scores 0.60 (1x), Forward P/E 10.54 scores 1.0 (1x), Profit Margin 33.1% scores 1.0 (1x), Payout Ratio 50% scores 0.83 (1x), Consecutive Years Paid 5 scores 0.50 (2x), Consecutive Years Growth 5 scores 0.50 (1x), 5yr Dividend Growth CAGR 10% scores 1.0 (2x). Weighted sum = 9.17, max = 12, score = 7.64, rounds to 8. Liquidity easily cleared: 4.0M avg vol x $99.09 = $396.4M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HSBC demonstrates strong infinite game characteristics, evidenced by 160+ years of continuous operation through world wars, financial crises, and geopolitical upheaval, combined with a bold willingness to fundamentally transform the business by exiting entire national markets in service of long-term strategic focus. The bank's recent decisions to sell US retail, Canada, and France operations represent genuine Courage to Lead — sacrificing near-term revenue for long-term geographic and strategic clarity.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HSBC's purpose — 'Opening up a world of opportunity' — is genuine and partially validated by 160+ years of connecting global commerce across Asia, Europe, the Middle East, and the Americas [1]. The bank's founding in 1865 to finance trade between Asia and the West, and its continuous evolution to serve international capital flows, demonstrates institutional permanence and consistency of purpose through colonial-era banking, two world wars, the Asian financial crisis, and the 2008 global financial crisis. However, the purpose, while authentic, is not so deeply distinctive that it drives all strategic decisions — the recent restructuring was at least partly driven by underperformance and activist pressure rather than purely cause-driven clarity.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HSBC employs approximately 214,000 people globally, and CEO Elhedery is implementing a bank-wide leadership programme designed to 'make culture an enabler of strategy,' emphasizing a 'culture of excellence, leadership and accountability' [2]. The bank's stated core values of 'leading by example' and 'integrity' suggest leadership investment in organizational trust. However, global banking cultures are notoriously hierarchical and performance-driven, recent leadership changes (CEO Elhedery appointed 2024) create organizational uncertainty, and the mass restructuring — exiting multiple national markets — inevitably disrupted teams and eroded psychological safety for affected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HSBC explicitly positions itself relative to rivals like JPMorgan Chase, Standard Chartered, and Citigroup, and the strategic decision to exit US retail banking was partly an acknowledgment that competing head-to-head with JPMorgan in its home market was not a sustainable strategy [1]. The bank's refocusing on Asia and international trade finance reflects a recognition of where its own strengths lie and where rivals are stronger — a hallmark of infinite game competitive thinking. Management commentary focuses on leveraging HSBC's distinctive global network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HSBC has fundamentally reinvented its geographic and strategic footprint, exiting US retail banking (sold to Citizens Financial), selling its Canadian operations to Royal Bank of Canada, divesting its French operations to Banque Postale, and pivoting decisively to an Asia-first strategy under CEO Elhedery [1][2]. These were not incremental adjustments — they involved abandoning major national markets with billions in assets, accepting near-term revenue and earnings reduction, and betting the bank's future on its Asia-Pacific franchise and international connectivity. This is transformative flexibility of the highest order, comparable to the canonical examples in Sinek's framework.</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HSBC's leadership has demonstrated a clear pattern of costly long-term bets: exiting US retail banking (a major revenue source), selling Canada and France operations, and accepting billions in divestiture-related costs and near-term earnings impact in service of long-term strategic clarity [1]. CEO Elhedery committed to 17%+ RoTE through 2028, betting on AI transformation and Asia-focused growth over the safety of diversified global retail banking. The appointment of a dedicated Chief AI Officer (not just a CTO function) represents a structural commitment to technology-driven efficiency [2]. Maintaining the 50% dividend payout target through massive restructuring demonstrates commitment to shareholders despite operational upheaval. These are not easy decisions — they are the kind of courageous, long-term-oriented leadership that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HSBC offers compelling value at 10.54x forward earnings for a global banking franchise generating $29.9B in pre-tax profit with 17.2% return on tangible equity, targeting 17%+ RoTE through 2028 [1]. The strategic transformation under CEO Elhedery — exiting US retail, Canada, and France to refocus on the dominant Asia-Pacific franchise and international trade finance network — is creating a simpler, higher-return bank. Revenue of $68.3B grew 3.7% in 2025 with the bank targeting 5% annual growth by 2028, and the stock has surged 56% in the past 52 weeks as the market rewards strategic clarity [1]. The 4.03% dividend yield with a disciplined 50% payout target and 10% recent dividend growth provides attractive income, and the appointment of a Chief AI Officer in April 2026 signals commitment to technology-driven efficiency gains [2][4]. HSBC's 160-year global network connecting Asia, Europe, and the Middle East is an irreplaceable franchise asset.</w:t>
      </w:r>
    </w:p>
    <w:p>
      <w:pPr>
        <w:spacing w:after="120"/>
      </w:pPr>
      <w:r>
        <w:rPr>
          <w:rFonts w:ascii="Calibri" w:hAnsi="Calibri"/>
          <w:b w:val="0"/>
          <w:color w:val="3A4A28"/>
          <w:sz w:val="20"/>
        </w:rPr>
        <w:t>The bear case centers on geopolitical risk, the dividend's short track record, and structural challenges. HSBC's Asia-first strategy concentrates risk on China-US relations, Hong Kong regulatory uncertainty, and Chinese economic slowdown — if the CCP imposed capital controls, restricted foreign banking, or if US-China tensions escalated to sanctions affecting HSBC's operations, the bank's largest profit center would be directly impaired [1]. The dividend was cut to zero in 2020 under UK PRA order, and the current 5-year payment and growth track record is thin compared to peers with decades of uninterrupted increases; another crisis could trigger regulatory intervention again [4]. ROE of 11.61% trails the 17.2% RoTE figure because book equity includes goodwill and intangibles from the bank's global expansion era. The D/E ratio of 155% is typical for banking but represents structural leverage risk in a credit downturn. Greenwashing accusations from the UK's Advertising Standards Authority over climate-related advertising created reputational ESG risk [3]. The Inspire score of -49 (MISALIGNED) due to LGBT Activism may be a consideration for faith-aligned investors. The recent 56% stock price surge may have priced in much of the restructuring benefit, limiting near-term upside from the current $99 price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efficiency gains through the newly appointed Chief AI Officer role, with generative AI and coding assistants deployed across operations targeting cost savings that support the 17%+ RoTE target through 2028 [2]</w:t>
      </w:r>
    </w:p>
    <w:p>
      <w:pPr>
        <w:spacing w:before="40" w:after="40"/>
        <w:ind w:left="283"/>
      </w:pPr>
      <w:r>
        <w:rPr>
          <w:rFonts w:ascii="Calibri" w:hAnsi="Calibri"/>
          <w:b/>
          <w:color w:val="4A6B25"/>
          <w:sz w:val="20"/>
        </w:rPr>
        <w:t xml:space="preserve">2. </w:t>
      </w:r>
      <w:r>
        <w:rPr>
          <w:rFonts w:ascii="Calibri" w:hAnsi="Calibri"/>
          <w:b w:val="0"/>
          <w:color w:val="3A4A28"/>
          <w:sz w:val="20"/>
        </w:rPr>
        <w:t>Asia-Pacific growth acceleration as the strategic refocusing on HSBC's dominant Hong Kong, China, and Southeast Asia franchise drives revenue growth toward the 5% annual target by 2028, supported by rising Asian wealth management demand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from the 50% payout ratio target — with $29.9B pre-tax profit and a disciplined capital return framework, HSBC has significant capacity for sustained double-digit dividend increases as restructuring costs decline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concentration risk — HSBC's Asia-first strategy creates acute exposure to China-US tensions, Hong Kong regulatory changes, and Chinese economic slowdown that could impair the bank's largest and most profitable market [1]</w:t>
      </w:r>
    </w:p>
    <w:p>
      <w:pPr>
        <w:spacing w:before="40" w:after="40"/>
        <w:ind w:left="283"/>
      </w:pPr>
      <w:r>
        <w:rPr>
          <w:rFonts w:ascii="Calibri" w:hAnsi="Calibri"/>
          <w:b/>
          <w:color w:val="4A6B25"/>
          <w:sz w:val="20"/>
        </w:rPr>
        <w:t xml:space="preserve">2. </w:t>
      </w:r>
      <w:r>
        <w:rPr>
          <w:rFonts w:ascii="Calibri" w:hAnsi="Calibri"/>
          <w:b w:val="0"/>
          <w:color w:val="3A4A28"/>
          <w:sz w:val="20"/>
        </w:rPr>
        <w:t>Dividend fragility — the 2020 PRA-forced dividend cancellation demonstrated that UK regulators can and will suspend bank dividends during crises, and the 5-year track record since resumption provides limited confidence in sustainability through the next downturn [4]</w:t>
      </w:r>
    </w:p>
    <w:p>
      <w:pPr>
        <w:spacing w:before="40" w:after="40"/>
        <w:ind w:left="283"/>
      </w:pPr>
      <w:r>
        <w:rPr>
          <w:rFonts w:ascii="Calibri" w:hAnsi="Calibri"/>
          <w:b/>
          <w:color w:val="4A6B25"/>
          <w:sz w:val="20"/>
        </w:rPr>
        <w:t xml:space="preserve">3. </w:t>
      </w:r>
      <w:r>
        <w:rPr>
          <w:rFonts w:ascii="Calibri" w:hAnsi="Calibri"/>
          <w:b w:val="0"/>
          <w:color w:val="3A4A28"/>
          <w:sz w:val="20"/>
        </w:rPr>
        <w:t>Greenwashing and reputational risk — UK Advertising Standards Authority accusations regarding climate-related advertising, combined with the -49 Inspire score, create ESG-related brand and investor relations challenges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HSBC's core banking business faces moderate AI exposure. The bank's international trade finance network, relationship-driven commercial banking, and wealth management franchise have meaningful defensive moats — regulatory requirements, capital adequacy rules, trust relationships, and global connectivity that AI cannot easily replicate [1][2]. However, AI-driven fintech competitors are increasingly disrupting retail banking, payments, and basic lending — areas HSBC has partially exited but that remain relevant. Automated trading, robo-advisory, and AI-powered underwriting platforms could compress margins in certain business lines. The bank's 160-year global network and regulatory moats provide structural protection, but some segments face real AI-driven competitive pressure. AI Opportunity (0/1): While HSBC appointed its first Chief AI Officer in April 2026 and is deploying AI tools internally including coding assistants and generative AI, no specific AI-generated revenue from external products or quantified internal savings have been disclosed [2]. The AI investment is strategic and operational rather than revenue-generating.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HSBC Holdings 2025 Annual Results — profit before tax $29.9B, revenue $68.3B (+3.7% YoY, +5% reported), RoTE 17.2%, targeting 17%+ RoTE 2026-2028, 5% revenue growth by 2028, exited US retail/Canada/France, February 2026</w:t>
      </w:r>
    </w:p>
    <w:p>
      <w:pPr>
        <w:spacing w:before="20" w:after="20"/>
        <w:ind w:left="170"/>
      </w:pPr>
      <w:r>
        <w:rPr>
          <w:rFonts w:ascii="Calibri" w:hAnsi="Calibri"/>
          <w:b/>
          <w:color w:val="4A6B25"/>
          <w:sz w:val="15"/>
        </w:rPr>
        <w:t xml:space="preserve">2. </w:t>
      </w:r>
      <w:r>
        <w:rPr>
          <w:rFonts w:ascii="Calibri" w:hAnsi="Calibri"/>
          <w:b w:val="0"/>
          <w:color w:val="3A4A28"/>
          <w:sz w:val="17"/>
        </w:rPr>
        <w:t>HSBC AI and Leadership Strategy — CEO Georges Elhedery (appointed 2024), appointed David Rice as first Chief AI Officer April 2026, deploying generative AI and coding assistants, culture of excellence program, 'Opening up a world of opportunity' purpose, May 2026</w:t>
      </w:r>
    </w:p>
    <w:p>
      <w:pPr>
        <w:spacing w:before="20" w:after="20"/>
        <w:ind w:left="170"/>
      </w:pPr>
      <w:r>
        <w:rPr>
          <w:rFonts w:ascii="Calibri" w:hAnsi="Calibri"/>
          <w:b/>
          <w:color w:val="4A6B25"/>
          <w:sz w:val="15"/>
        </w:rPr>
        <w:t xml:space="preserve">3. </w:t>
      </w:r>
      <w:r>
        <w:rPr>
          <w:rFonts w:ascii="Calibri" w:hAnsi="Calibri"/>
          <w:b w:val="0"/>
          <w:color w:val="3A4A28"/>
          <w:sz w:val="17"/>
        </w:rPr>
        <w:t>HSBC ESG and Controversies — UK ASA greenwashing accusations over climate advertising, ESG MSCI rating AA, net-zero transition commitments, fossil fuel financing criticism, sustainable finance reporting, 2024-2026</w:t>
      </w:r>
    </w:p>
    <w:p>
      <w:pPr>
        <w:spacing w:before="20" w:after="20"/>
        <w:ind w:left="170"/>
      </w:pPr>
      <w:r>
        <w:rPr>
          <w:rFonts w:ascii="Calibri" w:hAnsi="Calibri"/>
          <w:b/>
          <w:color w:val="4A6B25"/>
          <w:sz w:val="15"/>
        </w:rPr>
        <w:t xml:space="preserve">4. </w:t>
      </w:r>
      <w:r>
        <w:rPr>
          <w:rFonts w:ascii="Calibri" w:hAnsi="Calibri"/>
          <w:b w:val="0"/>
          <w:color w:val="3A4A28"/>
          <w:sz w:val="17"/>
        </w:rPr>
        <w:t>HSBC Dividend and Valuation — stock $99.09, PE 14.92, Forward PE 10.54, dividend yield 4.03%, $3.73/share annual, 50% payout target, 5 years of payment since 2020 resumption, 10% recent growth, +56% 52-week return,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