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HSY</w:t>
      </w:r>
      <w:r>
        <w:rPr>
          <w:rFonts w:ascii="Calibri" w:hAnsi="Calibri"/>
          <w:b/>
          <w:color w:val="1A2010"/>
          <w:sz w:val="40"/>
        </w:rPr>
        <w:t xml:space="preserve">  The Hershey Company</w:t>
      </w:r>
    </w:p>
    <w:p>
      <w:pPr>
        <w:spacing w:after="120"/>
      </w:pPr>
      <w:r>
        <w:rPr>
          <w:rFonts w:ascii="Calibri" w:hAnsi="Calibri"/>
          <w:b/>
          <w:color w:val="6E8450"/>
          <w:sz w:val="18"/>
        </w:rPr>
        <w:t>DIVIDEND SLEEVE · 2026-07-18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Confectioners · NYSE · United States</w:t>
      </w:r>
    </w:p>
    <w:p>
      <w:pPr>
        <w:spacing w:after="80"/>
      </w:pPr>
      <w:r>
        <w:rPr>
          <w:rFonts w:ascii="Calibri" w:hAnsi="Calibri"/>
          <w:b w:val="0"/>
          <w:color w:val="3A4A28"/>
          <w:sz w:val="20"/>
        </w:rPr>
        <w:t>The Hershey Company manufactures and markets chocolate, confectionery, and salty snack products including Hershey's, Reese's, Kit Kat, Jolly Rancher, and SkinnyPop, sold across North America and internationally. Founded by Milton Hershey in 1894 and headquartered in Hershey, Pennsylvania, the company is majority-controlled by the Milton Hershey School Trust, whose returns fund a residential school for underprivileged children.</w:t>
      </w:r>
    </w:p>
    <w:p>
      <w:r>
        <w:rPr>
          <w:rFonts w:ascii="Calibri" w:hAnsi="Calibri"/>
          <w:b/>
          <w:color w:val="6E8450"/>
          <w:sz w:val="18"/>
        </w:rPr>
        <w:t>20,000 Employees · https://www.thehersheycompany.com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Hershey diversified beyond core confectionery with the LesserEvil salty-snacks acquisition, which contributed to Q1 2026 net sales growth of 10.6% YoY to $3.10B alongside pricing actions in North America Confectionery, though the company remains fundamentally a chocolate and snacks manufacturer rather than a reinvented business [1]. AI Deployment (1/2): Hershey partnered with Aera Technology to deploy an AI decision-intelligence platform across sourcing analytics, plant automation, and fulfillment, initially targeting supply-chain loss prevention, norm-setting, and material-loss optimization, though no specific dollar savings have been disclosed [2]. Market Share (1/2): Hershey holds the #1 position in U.S. confectionery, but no specific recent share-gain data was identified in available research. Product Pipeline (0/2): No next-generation products with specific launch dates were identified beyond the LesserEvil integration and continued pricing actions. R&amp;D Intensity (0/1): No R&amp;D-to-revenue disclosure relative to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Hershey's purpose of 'making more moments of goodness' traces directly to founder Milton Hershey's 1909 decision to give away his entire ownership stake in the company to endow the Milton Hershey School for orphaned and underprivileged children — a structural commitment that has persisted for over 115 years and is embedded in governance today via the Milton Hershey School Trust's controlling voting interest [3]. Community Impact (2/2): The Trust's multibillion-dollar endowment, funded substantially by Hershey stock, provides full scholarships, housing, and support to thousands of children — a distinctive, structurally embedded community investment with few peers in corporate America [3]. Employee Retention (1/2): Hershey is Great Place to Work certified, but Glassdoor reviews also cite 'declining company culture' tied to recent retail leadership changes and the 2025 CEO transition, producing a mixed signal [4]. Insider Buying (0/2): No insider buying data was identified for new CEO Kirk Tanner or other executives since his August 2025 appointment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payer; liquidity floor is cleared by a wide margin ($2.15M avg daily volume x $171.42 = ~$368M) [5]. Q1 2026 net sales rose 10.6% YoY to $3.10B with net income nearly doubling to $435.1M as cocoa cost relief and pricing actions took hold, and ROE of 23.2% and a 19.2x forward P/E reflect a quality franchise, though D/E of 120% and a 5-year revenue CAGR of 6.9% are more middling [1][5]. Hershey is a Dividend King with roughly 96 consecutive years of dividend payments and over 50 consecutive years of increases, and the 5-year dividend growth CAGR of 11.8% comfortably clears the target — though the trailing payout ratio of 105% (elevated by the 2024-2025 cocoa cost spike) is the one metric holding the score back from a higher mark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Hershey is one of the clearest examples of an infinite-game company in the IOWN universe: founder Milton Hershey's 1909 decision to give away his ownership stake to endow a school for underprivileged children created a Just Cause that is structurally embedded in the company's governance (the Milton Hershey School Trust controls voting power) and has survived more than a century of leadership changes, commodity cycles, and a 2025 CEO transition. Management's willingness to absorb the 2024-2025 cocoa cost spike without cutting the dividend, while continuing to diversify via the LesserEvil acquisition, reflects a pattern of prioritizing long-term commitments over short-term optics.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Milton Hershey's 1909 gift of his entire ownership stake to found the Milton Hershey School has structurally bound the company's purpose to 'making more moments of goodness' for over a century — the Trust's controlling votes ensure this purpose survives any single leadership team, and it has been validated through the Great Depression, world wars, and the 2025 CEO transition to Kirk Tanner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Hershey is Great Place to Work certified, a positive signal, but Glassdoor reviews cite 'declining company culture' tied to recent retail leadership turnover and the 2025 CEO transition, preventing a higher score without more current tenure/turnover data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Hershey publicly framing its competitive strategy around learning from rivals rather than beating them; available commentary focuses on category leadership and pricing power rather than a stated worthy-rivals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LesserEvil acquisition extends Hershey into the 'better-for-you' salty snacks category, a genuine adjacent-market diversification, but the company remains overwhelmingly a core confectionery business rather than having undergone a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Hershey maintained its Dividend King streak of 50+ consecutive annual increases through the severe 2024-2025 cocoa price spike rather than protecting margins by cutting the payout, and it committed capital to the LesserEvil acquisition to diversify beyond core confectionery even while absorbing commodity cost pressure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Hershey enters the back half of 2026 with cocoa cost relief finally showing up in results: Q1 2026 net sales rose 10.6% YoY to $3.10B and net income nearly doubled to $435.1M as pricing actions in North America Confectionery and the LesserEvil acquisition drove growth, and management raised full-year 2026 EPS guidance to $8.20-$8.52 (well above the prior $7.15 consensus) [1]. As a Dividend King with roughly 96 consecutive years of dividend payments, 50+ consecutive years of increases, and a 5-year dividend growth CAGR of 11.8%, Hershey combines category-leading brand equity (Hershey's, Reese's, Kit Kat) with a structurally embedded Just Cause via the Milton Hershey School Trust's controlling ownership [3][5].</w:t>
      </w:r>
    </w:p>
    <w:p>
      <w:pPr>
        <w:spacing w:after="120"/>
      </w:pPr>
      <w:r>
        <w:rPr>
          <w:rFonts w:ascii="Calibri" w:hAnsi="Calibri"/>
          <w:b w:val="0"/>
          <w:color w:val="3A4A28"/>
          <w:sz w:val="20"/>
        </w:rPr>
        <w:t>The main financial concern is the elevated trailing payout ratio of 105% — a legacy of the 2024-2025 cocoa cost spike that squeezed TTM earnings below the current dividend rate — though forward EPS guidance suggests this should normalize toward the high-60s% as cocoa costs ease [1][5]. Structurally, Hershey carries D/E of 120% and a modest 6.9% five-year revenue CAGR, reflecting a mature, largely single-category business, and it remains exposed to renewed cocoa volatility, ongoing child-labor litigation risk in its West African supply chain (Hershey itself has acknowledged it cannot realistically eliminate child labor from that supply chain by its own 2025 target), and a leadership transition following new CEO Kirk Tanner's August 2025 appointment [1][4][7].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cocoa cost deflation and pricing realization driving the payout ratio down from its currently elevated 105% level toward a more sustainable ~65-70%</w:t>
      </w:r>
    </w:p>
    <w:p>
      <w:pPr>
        <w:spacing w:before="40" w:after="40"/>
        <w:ind w:left="283"/>
      </w:pPr>
      <w:r>
        <w:rPr>
          <w:rFonts w:ascii="Calibri" w:hAnsi="Calibri"/>
          <w:b/>
          <w:color w:val="4A6B25"/>
          <w:sz w:val="20"/>
        </w:rPr>
        <w:t xml:space="preserve">2. </w:t>
      </w:r>
      <w:r>
        <w:rPr>
          <w:rFonts w:ascii="Calibri" w:hAnsi="Calibri"/>
          <w:b w:val="0"/>
          <w:color w:val="3A4A28"/>
          <w:sz w:val="20"/>
        </w:rPr>
        <w:t>LesserEvil and other 'better-for-you' snack acquisitions scaling growth outside the core, slow-growing confectionery category</w:t>
      </w:r>
    </w:p>
    <w:p>
      <w:pPr>
        <w:spacing w:before="40" w:after="40"/>
        <w:ind w:left="283"/>
      </w:pPr>
      <w:r>
        <w:rPr>
          <w:rFonts w:ascii="Calibri" w:hAnsi="Calibri"/>
          <w:b/>
          <w:color w:val="4A6B25"/>
          <w:sz w:val="20"/>
        </w:rPr>
        <w:t xml:space="preserve">3. </w:t>
      </w:r>
      <w:r>
        <w:rPr>
          <w:rFonts w:ascii="Calibri" w:hAnsi="Calibri"/>
          <w:b w:val="0"/>
          <w:color w:val="3A4A28"/>
          <w:sz w:val="20"/>
        </w:rPr>
        <w:t>AI-enabled supply chain platform (Aera Technology partnership) improving margin resilience against future commodity shocks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payout ratio of 105% signals the dividend is not yet fully covered by trailing earnings, leaving limited room for a hiccup in the cocoa cost recovery</w:t>
      </w:r>
    </w:p>
    <w:p>
      <w:pPr>
        <w:spacing w:before="40" w:after="40"/>
        <w:ind w:left="283"/>
      </w:pPr>
      <w:r>
        <w:rPr>
          <w:rFonts w:ascii="Calibri" w:hAnsi="Calibri"/>
          <w:b/>
          <w:color w:val="4A6B25"/>
          <w:sz w:val="20"/>
        </w:rPr>
        <w:t xml:space="preserve">2. </w:t>
      </w:r>
      <w:r>
        <w:rPr>
          <w:rFonts w:ascii="Calibri" w:hAnsi="Calibri"/>
          <w:b w:val="0"/>
          <w:color w:val="3A4A28"/>
          <w:sz w:val="20"/>
        </w:rPr>
        <w:t>Ongoing child-labor litigation risk and Hershey's own acknowledgment that full eradication of child labor from its West African cocoa supply chain by 2025 was not achievable creates reputational and regulatory exposure</w:t>
      </w:r>
    </w:p>
    <w:p>
      <w:pPr>
        <w:spacing w:before="40" w:after="40"/>
        <w:ind w:left="283"/>
      </w:pPr>
      <w:r>
        <w:rPr>
          <w:rFonts w:ascii="Calibri" w:hAnsi="Calibri"/>
          <w:b/>
          <w:color w:val="4A6B25"/>
          <w:sz w:val="20"/>
        </w:rPr>
        <w:t xml:space="preserve">3. </w:t>
      </w:r>
      <w:r>
        <w:rPr>
          <w:rFonts w:ascii="Calibri" w:hAnsi="Calibri"/>
          <w:b w:val="0"/>
          <w:color w:val="3A4A28"/>
          <w:sz w:val="20"/>
        </w:rPr>
        <w:t>New CEO Kirk Tanner (since August 2025) represents a leadership transition risk after a period of Glassdoor-reported cultural decline tied to retail leadership changes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Hershey's business is physically manufactured, branded confectionery sold through entrenched retail relationships — a category structurally immune to AI substitution, and no analyst commentary was found suggesting AI threatens Hershey's core earnings power. If anything, Hershey is deploying AI as an efficiency tool: its Aera Technology partnership applies AI decision-intelligence across sourcing, plant automation, and fulfillment to build 'a faster, smarter and more resilient supply chain' [2]. AI Opportunity (0/1): Hershey does not sell AI products or disclose AI-attributable revenue; its AI use is an internal cost/efficiency initiative rather than a revenue driver, so it does not qualify for the AI opportunity tiebreaker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Hershey Q1 2026 Results and FY2026 Guidance — Hershey 10-Q/8-K, ESM Magazine, Investing.com, TIKR, 2026</w:t>
      </w:r>
    </w:p>
    <w:p>
      <w:pPr>
        <w:spacing w:before="20" w:after="20"/>
        <w:ind w:left="170"/>
      </w:pPr>
      <w:r>
        <w:rPr>
          <w:rFonts w:ascii="Calibri" w:hAnsi="Calibri"/>
          <w:b/>
          <w:color w:val="4A6B25"/>
          <w:sz w:val="15"/>
        </w:rPr>
        <w:t xml:space="preserve">2. </w:t>
      </w:r>
      <w:r>
        <w:rPr>
          <w:rFonts w:ascii="Calibri" w:hAnsi="Calibri"/>
          <w:b w:val="0"/>
          <w:color w:val="3A4A28"/>
          <w:sz w:val="17"/>
        </w:rPr>
        <w:t>Hershey Applies AI Across Supply Chain Operations (Aera Technology partnership) — FoodNavigator-USA, AI.cc, February-April 2026</w:t>
      </w:r>
    </w:p>
    <w:p>
      <w:pPr>
        <w:spacing w:before="20" w:after="20"/>
        <w:ind w:left="170"/>
      </w:pPr>
      <w:r>
        <w:rPr>
          <w:rFonts w:ascii="Calibri" w:hAnsi="Calibri"/>
          <w:b/>
          <w:color w:val="4A6B25"/>
          <w:sz w:val="15"/>
        </w:rPr>
        <w:t xml:space="preserve">3. </w:t>
      </w:r>
      <w:r>
        <w:rPr>
          <w:rFonts w:ascii="Calibri" w:hAnsi="Calibri"/>
          <w:b w:val="0"/>
          <w:color w:val="3A4A28"/>
          <w:sz w:val="17"/>
        </w:rPr>
        <w:t>Milton Hershey School / Shared Goodness Promise — Milton Hershey School, thehersheycompany.com,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Hershey Leadership and Culture — Glassdoor, Great Place to Work, Simply Wall St Management Analysis,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dividendmax.com — HSY Key Statistics, Financials, and Dividend History,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Hershey Dividend King Status Coverage — ad-hoc-news.de, MacroTrends dividend history, 2026</w:t>
      </w:r>
    </w:p>
    <w:p>
      <w:pPr>
        <w:spacing w:before="20" w:after="20"/>
        <w:ind w:left="170"/>
      </w:pPr>
      <w:r>
        <w:rPr>
          <w:rFonts w:ascii="Calibri" w:hAnsi="Calibri"/>
          <w:b/>
          <w:color w:val="4A6B25"/>
          <w:sz w:val="15"/>
        </w:rPr>
        <w:t xml:space="preserve">7. </w:t>
      </w:r>
      <w:r>
        <w:rPr>
          <w:rFonts w:ascii="Calibri" w:hAnsi="Calibri"/>
          <w:b w:val="0"/>
          <w:color w:val="3A4A28"/>
          <w:sz w:val="17"/>
        </w:rPr>
        <w:t>Hershey Cocoa Supply Chain and Child Labor Controversy — Sustainalytics ESG Research, Green America Chocolate Scorecard, Harbert/Auburn Case Study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