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HTGC</w:t>
      </w:r>
      <w:r>
        <w:rPr>
          <w:rFonts w:ascii="Calibri" w:hAnsi="Calibri"/>
          <w:b/>
          <w:color w:val="1A2010"/>
          <w:sz w:val="40"/>
        </w:rPr>
        <w:t xml:space="preserve">  Hercules Capital, Inc.</w:t>
      </w:r>
    </w:p>
    <w:p>
      <w:pPr>
        <w:spacing w:after="120"/>
      </w:pPr>
      <w:r>
        <w:rPr>
          <w:rFonts w:ascii="Calibri" w:hAnsi="Calibri"/>
          <w:b/>
          <w:color w:val="6E8450"/>
          <w:sz w:val="18"/>
        </w:rPr>
        <w:t>DIVIDEND SLEEVE · 2026-07-13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Hercules Capital, Inc. is a business development company (BDC) and the largest non-bank lender to venture-backed companies in the United States. The internally managed BDC provides senior secured venture lending to technology, life sciences, and sustainable and renewable technology companies at growth and expansion stages. Founded in December 2003, headquartered in San Jose, California, with approximately $6.1 billion in assets under management and over $27 billion committed to 700+ companies since inception.</w:t>
      </w:r>
    </w:p>
    <w:p>
      <w:r>
        <w:rPr>
          <w:rFonts w:ascii="Calibri" w:hAnsi="Calibri"/>
          <w:b/>
          <w:color w:val="6E8450"/>
          <w:sz w:val="18"/>
        </w:rPr>
        <w:t>100 Employees · https://www.htgc.com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Hercules has grown AUM from approximately $3B to $6.1B over five years and expanded from pure technology lending into life sciences and sustainable technology verticals, winning 2025 Americas BDC Manager of the Year from Private Debt Investor [1]. However, the core business model of providing structured debt to venture-backed companies has remained fundamentally unchanged since founding in 2003. AI Deployment (0/2): Hercules does not deploy AI-powered products or report AI-driven operational efficiencies. While portfolio companies integrate AI into their offerings, HTGC itself has no measurable AI deployment in underwriting, deal sourcing, or portfolio management [1]. Market Share (2/2): Hercules is the dominant player in venture lending — the largest non-bank lender to venture-backed technology, life sciences, and sustainable technology companies in the U.S., having committed more than $27 billion to over 700 companies since inception [1]. This is clear category leadership with brand recognition among founders and VCs. Product Pipeline (0/2): No next-generation financial products announced. The BDC model is inherently incremental — deal flow quality and underwriting discipline are the product, with no specific new product lines or platforms in development. R&amp;D Intensity (0/1): Financial services company with no traditional R&amp;D function.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Hercules Capital's purpose centers on fueling innovation by providing growth-stage capital to technology, life sciences, and sustainable energy companies building the future [1]. This is more specific than generic financial services missions and connects lending to enabling innovation, but it has not been validated through a transformative test that proved purpose drives decisions over profit. Community Impact (0/2): Hercules practices environmentally sound operations and avoids direct investment in oil and gas, mining, forestry, and logging industries, but these represent responsible investing practices rather than philanthropic community investment [1]. No specific charitable programs, foundation, or community investment dollar amounts were identified. Employee Retention (1/2): Glassdoor rating of 3.9/5 across 49 reviews is above average for financial services. Employees describe an improving culture with 'an awesome People Team' and 'the best culture of any buy-side firm in Boston' [3]. However, the small employee base (~100) means individual reviews carry outsized weight, and some reviews cite high turnover at all levels except the CEO. CEO Scott Bluestein's 12+ year tenure provides leadership continuity. Insider Buying (0/2): No evidence of meaningful net insider buying by CEO Scott Bluestein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stock metrics. Core financial metrics are strong: Forward P/E of 8.21 is well below the 20 target (score 1.0), ROE of 15.7% exceeds the 15% target (score 1.0), and profit margin of 59.85% vastly exceeds the 20% target (score 1.0) [5]. TTM revenue growth of 12.8% exceeds the 10% target (score 1.0), and estimated 5-year CAGR of approximately 16% reflects portfolio growth through rising rate cycles (score 1.0) [1][5]. D/E of 115% exceeds the 70% target but is below the 300% floor (score 0.80), reflecting BDC leverage norms [5]. Dividend metrics show 22 consecutive years paid (score 1.0, 2x weight) and 5-year dividend growth CAGR of 8.66% exceeding the 6% target (score 1.0, 2x weight) [5]. Key weaknesses: payout ratio of 105.69% exceeds the 100% floor (score 0.0), and 0 consecutive years of dividend growth (score 0.0) as the annual distribution has fluctuated with interest rates. Q1 2026 NII of $88.1M ($0.48/share, +14% YoY) covers the base distribution at 120%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Hercules Capital has demonstrated consistency in its venture lending mission over 22 years but operates primarily as a yield vehicle for investors, with the BDC structure requiring 90%+ income distribution that inherently constrains long-term strategic flexibility. The Hunterbrook Media allegations about deal sourcing practices and portfolio valuation methods raise questions about whether organizational practices fully align with the stated purpose of fueling innovation. CEO tenure and organizational stability provide some foundation, but the evidence is insufficient for an infinite game classification.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Hercules' purpose of providing capital to innovative technology, life sciences, and sustainable energy companies connects lending to a broader goal of enabling innovation [1]. However, BDCs exist primarily as yield vehicles — the structure is designed to pass through investment income to shareholders, not to pursue a transformative cause. The Hunterbrook Media report alleging that deal sourcing 'copies those published on Google Ventures' website' undermines the narrative of proprietary innovation-enabling capabilities [3]. Strategic decisions around portfolio construction, leverage, and distribution are driven by yield optimization, not by a vision of the future that transcends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Despite a Glassdoor rating of 3.9/5, the organizational picture is mixed. Some employees describe 'great culture and challenging work,' but others characterize the CEO as having 'a very challenging personality' with 'large turnover at all levels except the CEO' [3]. The Hunterbrook allegations and securities class action lawsuits filed in 2026 could erode internal trust as employees navigate the reputational impact. With only approximately 100 employees, organizational trust is highly dependent on a few key relationships, and the polarized reviews suggest the Circle of Safety Sinek considers foundational is not consistently present.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Hercules frames its competitive positioning in terms of market opportunity and deal quality rather than defeating competitors [1]. Q1 2026 earnings commentary focused on the expanding addressable market for growth-stage lending and the company's unique deal sourcing capabilities, not on taking share from rival BDCs like Trinity Capital or Western Technology Investment. The company acknowledges the competitive lending landscape and uses it to maintain underwriting discipline.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Hercules has expanded from pure technology venture lending into life sciences and sustainable/renewable technology, growing AUM from approximately $3B to $6.1B and broadening the borrower base to reduce sector concentration risk [1]. The company diversified funding sources in Q1 2026, issuing $300M in institutional notes at 5.35%. However, the core business model — senior secured loans to growth-stage companies — is fundamentally unchanged since founding in 2003. These are incremental extensions,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Hercules demonstrated courage by deploying capital aggressively in Q1 2026 with $1.81B in new commitments (up 77.8% YoY) and $706.4M in total fundings (up 31.0%) despite market volatility, AI-related software portfolio concerns, and the Hunterbrook/lawsuit overhang [1]. The company maintained its investment-grade rating and distribution coverage while expanding the portfolio. However, BDC structures inherently limit courage — the 90%+ income distribution requirement means management cannot retain significant capital for long-term capability-building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Hercules Capital delivered record Q1 2026 results with total investment income of $141.5M (up 18.4% YoY), net investment income of $88.1M ($0.48/share, +13.8% YoY), and base distribution coverage of 120% on a portfolio yielding strong returns across $6.1B in AUM [1]. The 11.74% dividend yield at a forward P/E of 8.21 offers compelling income value, supported by 15.7% ROE, 59.85% profit margin, and $149.1M ($0.80/share) in undistributed earnings spillover providing distribution visibility [5]. As the largest non-bank lender to venture-backed companies, Hercules benefits from deal flow advantages, brand recognition, and 22 years of lending relationships. New commitments of $1.81B in Q1 2026 (up 78% YoY) signal a robust pipeline as venture capital activity recovers [1].</w:t>
      </w:r>
    </w:p>
    <w:p>
      <w:pPr>
        <w:spacing w:after="120"/>
      </w:pPr>
      <w:r>
        <w:rPr>
          <w:rFonts w:ascii="Calibri" w:hAnsi="Calibri"/>
          <w:b w:val="0"/>
          <w:color w:val="3A4A28"/>
          <w:sz w:val="20"/>
        </w:rPr>
        <w:t>The primary risk complex centers on portfolio quality and income sustainability. Piper Sandler downgraded HTGC specifically on AI disruption risks to the 35% software portfolio exposure, and the Hunterbrook Media report 'The Myth of Hercules Capital' raised allegations about deal sourcing practices and portfolio valuation methods, contributing to securities class action lawsuits filed in 2026 [2][3]. If validated, these allegations would undermine the core thesis that Hercules generates superior risk-adjusted returns through proprietary deal sourcing. The payout ratio of 105.69% exceeds GAAP earnings, meaning the distribution depends on continued strong NII rather than retained earnings [5]. NAV per share declined 1.9% to $11.90 in Q1 2026, and the stock trades at 1.33x book value, leaving limited margin of safety if credit quality deteriorates [1]. With the Federal Reserve expected to cut rates in 2026-2027, HTGC's floating-rate loan portfolio faces interest income headwinds — every 100bps rate cut reduces quarterly NII, and 3-year earnings growth forecasts of just 0.05% suggest the market expects these headwinds to largely offset portfolio growth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Venture capital fundraising and deal activity recovery driving increased demand for growth-stage lending, with Q1 2026 commitments of $1.81B (up 78% YoY) suggesting an accelerating pipeline that could sustain NII growth</w:t>
      </w:r>
    </w:p>
    <w:p>
      <w:pPr>
        <w:spacing w:before="40" w:after="40"/>
        <w:ind w:left="283"/>
      </w:pPr>
      <w:r>
        <w:rPr>
          <w:rFonts w:ascii="Calibri" w:hAnsi="Calibri"/>
          <w:b/>
          <w:color w:val="4A6B25"/>
          <w:sz w:val="20"/>
        </w:rPr>
        <w:t xml:space="preserve">2. </w:t>
      </w:r>
      <w:r>
        <w:rPr>
          <w:rFonts w:ascii="Calibri" w:hAnsi="Calibri"/>
          <w:b w:val="0"/>
          <w:color w:val="3A4A28"/>
          <w:sz w:val="20"/>
        </w:rPr>
        <w:t>Resolution of Hunterbrook allegations and securities fraud lawsuits without material financial impact, clearing the legal overhang and restoring investor confidence in portfolio valuations and deal sourcing integrity</w:t>
      </w:r>
    </w:p>
    <w:p>
      <w:pPr>
        <w:spacing w:before="40" w:after="40"/>
        <w:ind w:left="283"/>
      </w:pPr>
      <w:r>
        <w:rPr>
          <w:rFonts w:ascii="Calibri" w:hAnsi="Calibri"/>
          <w:b/>
          <w:color w:val="4A6B25"/>
          <w:sz w:val="20"/>
        </w:rPr>
        <w:t xml:space="preserve">3. </w:t>
      </w:r>
      <w:r>
        <w:rPr>
          <w:rFonts w:ascii="Calibri" w:hAnsi="Calibri"/>
          <w:b w:val="0"/>
          <w:color w:val="3A4A28"/>
          <w:sz w:val="20"/>
        </w:rPr>
        <w:t>Supplemental dividend increases from the $149.1M ($0.80/share) undistributed earnings spillover as NII continues to exceed base distribution requirements through interest rate and portfolio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the 35% software portfolio exposure could trigger elevated non-accruals and realized losses, particularly in traditional SaaS companies whose value propositions are being commoditized by AI agents — Piper Sandler's downgrade specifically flagged this risk [2]</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lawsuits and Hunterbrook Media allegations about deal sourcing practices, misclassified portfolio investments, and growing payment-in-kind (PIK) exposure creating 'phantom income' that overstates distributable earnings [3]</w:t>
      </w:r>
    </w:p>
    <w:p>
      <w:pPr>
        <w:spacing w:before="40" w:after="40"/>
        <w:ind w:left="283"/>
      </w:pPr>
      <w:r>
        <w:rPr>
          <w:rFonts w:ascii="Calibri" w:hAnsi="Calibri"/>
          <w:b/>
          <w:color w:val="4A6B25"/>
          <w:sz w:val="20"/>
        </w:rPr>
        <w:t xml:space="preserve">3. </w:t>
      </w:r>
      <w:r>
        <w:rPr>
          <w:rFonts w:ascii="Calibri" w:hAnsi="Calibri"/>
          <w:b w:val="0"/>
          <w:color w:val="3A4A28"/>
          <w:sz w:val="20"/>
        </w:rPr>
        <w:t>Federal Reserve rate cuts projected for 2026-2027 will compress net interest margins on the floating-rate loan portfolio, reducing NII per share and potentially threatening distribution coverage at the current 105.69% GAAP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Hercules Capital faces meaningful indirect AI disruption risk through its approximately 35% portfolio exposure to software companies. Piper Sandler downgraded HTGC specifically citing AI disruption risks, noting potential for 'negative headlines, market noise, and business model difficulties' as AI tools threaten traditional software value propositions [2]. The Seeking Alpha analysis flagged 'big software risk' in the portfolio as AI agents potentially commoditize SaaS applications that Hercules' borrowers have built [4]. However, HTGC's core business of venture lending — relationship-based underwriting, covenant structuring, and portfolio management — requires human judgment that AI cannot replicate. Management has emphasized that software originations focus on companies with 'domain expertise, hardware moats, or highly regulated customer bases' that should be more resilient to AI disintermediation [4]. The BDC's senior secured position provides downside protection even if individual borrowers face AI pressure. AI Opportunity (0/1): Hercules does not generate direct AI revenue. While portfolio companies are integrating AI into their offerings, HTGC has not invested in pure-play AI companies and generates no quantifiable revenue from AI products or services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Hercules Capital Q1 2026 Earnings Release — Record NII, $1.81B New Commitments, and Portfolio Performance, investor.htgc.com, May 2026</w:t>
      </w:r>
    </w:p>
    <w:p>
      <w:pPr>
        <w:spacing w:before="20" w:after="20"/>
        <w:ind w:left="170"/>
      </w:pPr>
      <w:r>
        <w:rPr>
          <w:rFonts w:ascii="Calibri" w:hAnsi="Calibri"/>
          <w:b/>
          <w:color w:val="4A6B25"/>
          <w:sz w:val="15"/>
        </w:rPr>
        <w:t xml:space="preserve">2. </w:t>
      </w:r>
      <w:r>
        <w:rPr>
          <w:rFonts w:ascii="Calibri" w:hAnsi="Calibri"/>
          <w:b w:val="0"/>
          <w:color w:val="3A4A28"/>
          <w:sz w:val="17"/>
        </w:rPr>
        <w:t>Piper Sandler Analyst Downgrade of Hercules Capital on AI Disruption Risks to Software Portfolio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Hunterbrook Media — 'The Myth of Hercules Capital' and Securities Class Action Lawsuits — Deal Sourcing, NAV, and PIK Loan Allegations, 2026</w:t>
      </w:r>
    </w:p>
    <w:p>
      <w:pPr>
        <w:spacing w:before="20" w:after="20"/>
        <w:ind w:left="170"/>
      </w:pPr>
      <w:r>
        <w:rPr>
          <w:rFonts w:ascii="Calibri" w:hAnsi="Calibri"/>
          <w:b/>
          <w:color w:val="4A6B25"/>
          <w:sz w:val="15"/>
        </w:rPr>
        <w:t xml:space="preserve">4. </w:t>
      </w:r>
      <w:r>
        <w:rPr>
          <w:rFonts w:ascii="Calibri" w:hAnsi="Calibri"/>
          <w:b w:val="0"/>
          <w:color w:val="3A4A28"/>
          <w:sz w:val="17"/>
        </w:rPr>
        <w:t>Hercules Capital AI Portfolio Exposure Analysis and Software Risk Assessment — Seeking Alpha,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HTGC Key Statistics, Valuation, Dividend History,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