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HWM</w:t>
      </w:r>
      <w:r>
        <w:rPr>
          <w:rFonts w:ascii="Calibri" w:hAnsi="Calibri"/>
          <w:b/>
          <w:color w:val="1A2010"/>
          <w:sz w:val="40"/>
        </w:rPr>
        <w:t xml:space="preserve">  Howmet Aerospace Inc.</w:t>
      </w:r>
    </w:p>
    <w:p>
      <w:pPr>
        <w:spacing w:after="120"/>
      </w:pPr>
      <w:r>
        <w:rPr>
          <w:rFonts w:ascii="Calibri" w:hAnsi="Calibri"/>
          <w:b/>
          <w:color w:val="6E8450"/>
          <w:sz w:val="18"/>
        </w:rPr>
        <w:t>GROWTH SLEEVE · 2026-07-12 · Inspire: 45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Aerospace &amp; Defense · NYSE · United States</w:t>
      </w:r>
    </w:p>
    <w:p>
      <w:pPr>
        <w:spacing w:after="80"/>
      </w:pPr>
      <w:r>
        <w:rPr>
          <w:rFonts w:ascii="Calibri" w:hAnsi="Calibri"/>
          <w:b w:val="0"/>
          <w:color w:val="3A4A28"/>
          <w:sz w:val="20"/>
        </w:rPr>
        <w:t>Howmet Aerospace Inc. is a global leader in advanced engineered solutions for the aerospace and transportation industries. The company provides engine components (titanium and nickel superalloy aerostructures and engine parts), fastening systems, engineered structures, and forged wheels across four segments. Spun off from Arconic in April 2020, headquartered in Pittsburgh, Pennsylvania. Key customers include GE Aerospace, Pratt &amp; Whitney, Rolls-Royce, Boeing, and Airbus.</w:t>
      </w:r>
    </w:p>
    <w:p>
      <w:r>
        <w:rPr>
          <w:rFonts w:ascii="Calibri" w:hAnsi="Calibri"/>
          <w:b/>
          <w:color w:val="6E8450"/>
          <w:sz w:val="18"/>
        </w:rPr>
        <w:t>22,000 Employees · https://www.howmet.com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Howmet successfully transformed from the legacy Arconic aluminum conglomerate into a focused aerospace and defense components specialist after the April 2020 spin-off, shedding lower-margin businesses to concentrate on high-value engine components and fastening systems [1][2]. Spares revenue surged 36% to approximately $520M in Q1 2026, demonstrating successful growth in the high-margin aftermarket segment, though this is category extension rather than new market creation. AI Deployment (1/2): Howmet deploys AI-powered predictive maintenance and generative design in manufacturing processes, with internal analyses suggesting AI-optimized forging and casting reduces aircraft fuel use by 5-10% [7]. No specific dollar savings quantified publicly. Market Share (2/2): Dominant sole-source or limited-source supplier for critical jet engine components (blades, vanes, structural castings) across all major engine programs — GE Aerospace, Pratt &amp; Whitney, and Rolls-Royce — with near-monopoly positions in specialty alloy categories [1]. Product Pipeline (1/2): Gas turbines market revenue grew 39% in Q1 2026, and spares growth of 36% signals continued aftermarket expansion [1]. Next-generation single-crystal alloy development is ongoing but without specific product launch dates. R&amp;D Intensity (1/1): R&amp;D investment in advanced metallurgy, process technology, and additive manufacturing is significant for the specialty aerospace materials sector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Howmet's purpose centers on 'generating meaningful change for a more sustainable future through proprietary technologies that help the aerospace and commercial transportation industries reduce fuel consumption and cut carbon emissions' [4]. The mission is specific and connects to a larger purpose (sustainable aviation) but reads as business strategy rather than a transformative vision that transcends the product. Community Impact (1/2): The company publishes annual ESG reports and maintains community investment programs across its global manufacturing locations, though no distinctive charitable programs with specific dollar amounts were identified in public disclosures [4]. Employee Retention (1/2): Average management tenure of 4.4 years is strong relative to the company's 6-year independent history. Glassdoor reviews (3.3/5 from 667 reviews) are mixed — employees cite management and career development as positives but senior leadership and culture as negatives [3]. Insider Buying (0/2): Net insider selling of $25M in the last 12 months, including CHRO Neil Marchuk's sale of approximately 42,000 shares at $269 per share (39% of his direct holdings) in May 2026 [5]. No notable insider buying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financial metrics. Q1 2026 delivered $2.31B revenue (+19% YoY) with adjusted EBITDA margin expanding 320bps to 32.0%, adj EPS of $1.22 (+42% YoY), and free cash flow of $359M [1]. ROE of 33.8% reflects strong capital efficiency, and profit margin of approximately 18% is solid for an industrial manufacturer [6]. D/E of 88% is modestly above the 70% target but well-managed with investment-grade credit. The primary drag is the extreme premium valuation: Forward P/E of 51.07 (metric score 0.22) and estimated PEG of 2.34 (metric score 0.33) significantly penalize the infrastructure calculation despite excellent operational metrics [6]. Full-year 2026 guidance of $9.65B revenue, $4.94 adj EPS, and $1.75B FCF signals sustained execution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Howmet operates with a mix of infinite and finite characteristics. The strategic separation from Arconic and focused investment in aerospace technology demonstrate long-term thinking, and the sustainability mission provides genuine purpose. However, CEO John Plant's dual Chairman/CEO role concentrates authority, the Glassdoor culture ratings are mediocre at 3.3/5, and significant insider selling of $25M net in 12 months signals finite-minded leadership behavior. The company plays a long game operationally but has not fully committed to the infinite mindset organizationally.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Howmet's purpose around enabling sustainable aviation through lighter, more fuel-efficient engine components connects its work to the critical challenge of decarbonizing air travel [4]. This is specific, inclusive, and forward-looking. However, the company is only 6 years old in its current form, so the purpose has not been validated through multi-decade consistency or existential crisis. The separation from Arconic was driven by value creation and activist investor pressure as much as by purpose, and Sinek would note that a Just Cause should transcend business strategy [1][2].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Stable leadership with management tenure averaging 4.4 years across a 6-year company history [5]. However, Glassdoor rating of 3.3/5 from 667 reviews reveals mixed sentiment — employees appreciate management and career development but consistently identify senior leadership and internal culture as weaknesses [3]. CEO Plant's simultaneous Chairman/CEO role and lean organizational structure (no COO) concentrates authority, which Sinek would view as structural tension with empowerment and psychological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infinite competitive mindset. Howmet's competitive language centers on market dominance, sole-source positions, and share of engine content rather than learning from rivals [1]. The company's competitive advantages are structural (certifications, multi-year agreements) rather than derived from a growth mindset about competition.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separation from Arconic in 2020 represented a meaningful strategic pivot — shedding commodity aluminum businesses to focus entirely on high-value aerospace components [2]. This repositioning has been validated by sustained double-digit revenue growth and EBITDA margin expansion from approximately 25% to 32%. The pivot was significant but evolutionary rather than transformative, as Howmet's core metallurgy and manufacturing capabilities were already within Arconic.</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Plant drove the Arconic separation during activist investor pressure and COVID-19 disruption, betting on aerospace recovery when the industry was in severe decline [2]. The company maintained capital expenditure investment ($94M in Q1 2026 alone) and expanded capacity during the recovery, with $300M in share repurchases in Q1 demonstrating capital allocation conviction [1]. However, these are smart business decisions in a favorable market rather than principled stands involving meaningful sacrifice.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Howmet Aerospace delivered a dominant Q1 2026 with $2.31B revenue (+19% YoY), adjusted EBITDA margin expanding 320bps to 32.0%, and adj EPS of $1.22 (+42% YoY) [1]. The company raised full-year 2026 guidance to $9.65B revenue and $4.94 adj EPS, underpinned by 36% spares revenue growth ($520M quarterly run-rate representing 23% of total revenue), 20% commercial aerospace growth, and a 39% surge in gas turbines revenue driven by data center power demand [1]. With $1.75B guided free cash flow, sole-source positions on critical engine programs, and record customer backlogs at Boeing and Airbus providing multi-year visibility, Howmet is one of the highest-quality aerospace compounders in the public markets.</w:t>
      </w:r>
    </w:p>
    <w:p>
      <w:pPr>
        <w:spacing w:after="120"/>
      </w:pPr>
      <w:r>
        <w:rPr>
          <w:rFonts w:ascii="Calibri" w:hAnsi="Calibri"/>
          <w:b w:val="0"/>
          <w:color w:val="3A4A28"/>
          <w:sz w:val="20"/>
        </w:rPr>
        <w:t>The primary concern is valuation. At 51x forward earnings and a PEG ratio of 2.34, Howmet is priced for perfection despite being an industrial manufacturer, not a technology company [6]. The trailing P/E of 62x is 60% above historical averages and significantly above the aerospace peer average of 43.7x. Net insider selling of $25M in 12 months — including the CHRO disposing of 39% of his direct holdings at $269/share — undermines management conviction at current prices [5]. Revenue growth deceleration from the current 19% pace as aerospace production rate increases normalize could trigger significant multiple compression. Geopolitical risk from the Iranian conflict could disrupt engine spares demand, and any Boeing or Airbus production delays directly impact Howmet's volume trajectory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engine spares growth driven by aging commercial fleet (average aircraft age exceeding 14 years) and airline capacity expansion, with spares revenue on a $2B+ annual run-rate trajectory</w:t>
      </w:r>
    </w:p>
    <w:p>
      <w:pPr>
        <w:spacing w:before="40" w:after="40"/>
        <w:ind w:left="283"/>
      </w:pPr>
      <w:r>
        <w:rPr>
          <w:rFonts w:ascii="Calibri" w:hAnsi="Calibri"/>
          <w:b/>
          <w:color w:val="4A6B25"/>
          <w:sz w:val="20"/>
        </w:rPr>
        <w:t xml:space="preserve">2. </w:t>
      </w:r>
      <w:r>
        <w:rPr>
          <w:rFonts w:ascii="Calibri" w:hAnsi="Calibri"/>
          <w:b w:val="0"/>
          <w:color w:val="3A4A28"/>
          <w:sz w:val="20"/>
        </w:rPr>
        <w:t>Gas turbines market acceleration (+39% in Q1) driven by AI data center power demand and energy transition infrastructure, diversifying revenue beyond commercial aerospace dependence</w:t>
      </w:r>
    </w:p>
    <w:p>
      <w:pPr>
        <w:spacing w:before="40" w:after="40"/>
        <w:ind w:left="283"/>
      </w:pPr>
      <w:r>
        <w:rPr>
          <w:rFonts w:ascii="Calibri" w:hAnsi="Calibri"/>
          <w:b/>
          <w:color w:val="4A6B25"/>
          <w:sz w:val="20"/>
        </w:rPr>
        <w:t xml:space="preserve">3. </w:t>
      </w:r>
      <w:r>
        <w:rPr>
          <w:rFonts w:ascii="Calibri" w:hAnsi="Calibri"/>
          <w:b w:val="0"/>
          <w:color w:val="3A4A28"/>
          <w:sz w:val="20"/>
        </w:rPr>
        <w:t>Manufacturing capacity expansion and automation investments enabling EBITDA margin progression beyond the current 32% toward management's long-term 35%+ target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Premium valuation at 51x forward P/E and PEG of 2.34 leaves minimal margin of safety — any revenue miss or growth deceleration from the 19% pace could trigger significant multiple compression [6]</w:t>
      </w:r>
    </w:p>
    <w:p>
      <w:pPr>
        <w:spacing w:before="40" w:after="40"/>
        <w:ind w:left="283"/>
      </w:pPr>
      <w:r>
        <w:rPr>
          <w:rFonts w:ascii="Calibri" w:hAnsi="Calibri"/>
          <w:b/>
          <w:color w:val="4A6B25"/>
          <w:sz w:val="20"/>
        </w:rPr>
        <w:t xml:space="preserve">2. </w:t>
      </w:r>
      <w:r>
        <w:rPr>
          <w:rFonts w:ascii="Calibri" w:hAnsi="Calibri"/>
          <w:b w:val="0"/>
          <w:color w:val="3A4A28"/>
          <w:sz w:val="20"/>
        </w:rPr>
        <w:t>Significant net insider selling ($25M in 12 months) including CHRO disposing of 39% of direct holdings signals potential concern about valuation sustainability at current levels [5]</w:t>
      </w:r>
    </w:p>
    <w:p>
      <w:pPr>
        <w:spacing w:before="40" w:after="40"/>
        <w:ind w:left="283"/>
      </w:pPr>
      <w:r>
        <w:rPr>
          <w:rFonts w:ascii="Calibri" w:hAnsi="Calibri"/>
          <w:b/>
          <w:color w:val="4A6B25"/>
          <w:sz w:val="20"/>
        </w:rPr>
        <w:t xml:space="preserve">3. </w:t>
      </w:r>
      <w:r>
        <w:rPr>
          <w:rFonts w:ascii="Calibri" w:hAnsi="Calibri"/>
          <w:b w:val="0"/>
          <w:color w:val="3A4A28"/>
          <w:sz w:val="20"/>
        </w:rPr>
        <w:t>Concentration risk in commercial aerospace OEM production rates — Boeing 737 MAX delivery challenges, Airbus supply chain constraints, or engine program delays could directly impact volume growth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Howmet's core business — precision forging and casting of titanium and nickel superalloy engine components — is structurally immune to AI disruption. Manufacturing jet engine blades to single-crystal metallurgical specifications, managing extreme-temperature alloy chemistry, and passing rigorous FAA/EASA certification processes are physical-world capabilities that AI cannot substitute [1]. Multi-year sole-source positions with engine OEMs create switching costs measured in decades of requalification. AI-driven aerospace design actually increases demand for precision components as engines become more complex. The company's own AI adoption in process optimization largely neutralizes competitive risk from AI-enhanced rival manufacturers [7]. AI Opportunity (0/1): Howmet uses AI internally for manufacturing optimization but does not sell AI products or generate direct AI revenue. The 5-10% fuel efficiency improvement from AI-optimized component design benefits customers rather than constituting Howmet AI revenue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Howmet Aerospace Q1 2026 Earnings Release and Raised FY2026 Guidance — PRNewswire, May 7, 2026</w:t>
      </w:r>
    </w:p>
    <w:p>
      <w:pPr>
        <w:spacing w:before="20" w:after="20"/>
        <w:ind w:left="170"/>
      </w:pPr>
      <w:r>
        <w:rPr>
          <w:rFonts w:ascii="Calibri" w:hAnsi="Calibri"/>
          <w:b/>
          <w:color w:val="4A6B25"/>
          <w:sz w:val="15"/>
        </w:rPr>
        <w:t xml:space="preserve">2. </w:t>
      </w:r>
      <w:r>
        <w:rPr>
          <w:rFonts w:ascii="Calibri" w:hAnsi="Calibri"/>
          <w:b w:val="0"/>
          <w:color w:val="3A4A28"/>
          <w:sz w:val="17"/>
        </w:rPr>
        <w:t>Howmet Aerospace Q4 2025 and Full Year 2025 Results — howmet.com, February 12, 2026</w:t>
      </w:r>
    </w:p>
    <w:p>
      <w:pPr>
        <w:spacing w:before="20" w:after="20"/>
        <w:ind w:left="170"/>
      </w:pPr>
      <w:r>
        <w:rPr>
          <w:rFonts w:ascii="Calibri" w:hAnsi="Calibri"/>
          <w:b/>
          <w:color w:val="4A6B25"/>
          <w:sz w:val="15"/>
        </w:rPr>
        <w:t xml:space="preserve">3. </w:t>
      </w:r>
      <w:r>
        <w:rPr>
          <w:rFonts w:ascii="Calibri" w:hAnsi="Calibri"/>
          <w:b w:val="0"/>
          <w:color w:val="3A4A28"/>
          <w:sz w:val="17"/>
        </w:rPr>
        <w:t>Glassdoor — Howmet Aerospace Employee Reviews (3.3/5 from 667 reviews),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Howmet Aerospace 2025 Environmental Social and Governance Report — howmet.com, April 2026</w:t>
      </w:r>
    </w:p>
    <w:p>
      <w:pPr>
        <w:spacing w:before="20" w:after="20"/>
        <w:ind w:left="170"/>
      </w:pPr>
      <w:r>
        <w:rPr>
          <w:rFonts w:ascii="Calibri" w:hAnsi="Calibri"/>
          <w:b/>
          <w:color w:val="4A6B25"/>
          <w:sz w:val="15"/>
        </w:rPr>
        <w:t xml:space="preserve">5. </w:t>
      </w:r>
      <w:r>
        <w:rPr>
          <w:rFonts w:ascii="Calibri" w:hAnsi="Calibri"/>
          <w:b w:val="0"/>
          <w:color w:val="3A4A28"/>
          <w:sz w:val="17"/>
        </w:rPr>
        <w:t>Simply Wall St — HWM Insider Transactions and Valuation Analysis, accessed July 2026</w:t>
      </w:r>
    </w:p>
    <w:p>
      <w:pPr>
        <w:spacing w:before="20" w:after="20"/>
        <w:ind w:left="170"/>
      </w:pPr>
      <w:r>
        <w:rPr>
          <w:rFonts w:ascii="Calibri" w:hAnsi="Calibri"/>
          <w:b/>
          <w:color w:val="4A6B25"/>
          <w:sz w:val="15"/>
        </w:rPr>
        <w:t xml:space="preserve">6. </w:t>
      </w:r>
      <w:r>
        <w:rPr>
          <w:rFonts w:ascii="Calibri" w:hAnsi="Calibri"/>
          <w:b w:val="0"/>
          <w:color w:val="3A4A28"/>
          <w:sz w:val="17"/>
        </w:rPr>
        <w:t>StockAnalysis.com and Yahoo Finance — HWM Key Statistics and Financial Data, accessed July 2026</w:t>
      </w:r>
    </w:p>
    <w:p>
      <w:pPr>
        <w:spacing w:before="20" w:after="20"/>
        <w:ind w:left="170"/>
      </w:pPr>
      <w:r>
        <w:rPr>
          <w:rFonts w:ascii="Calibri" w:hAnsi="Calibri"/>
          <w:b/>
          <w:color w:val="4A6B25"/>
          <w:sz w:val="15"/>
        </w:rPr>
        <w:t xml:space="preserve">7. </w:t>
      </w:r>
      <w:r>
        <w:rPr>
          <w:rFonts w:ascii="Calibri" w:hAnsi="Calibri"/>
          <w:b w:val="0"/>
          <w:color w:val="3A4A28"/>
          <w:sz w:val="17"/>
        </w:rPr>
        <w:t>AInvest — Howmet Aerospace: A Masterclass in Vertical Integration and AI-Driven Aerospace Dominance,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