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HYT</w:t>
      </w:r>
      <w:r>
        <w:rPr>
          <w:rFonts w:ascii="Calibri" w:hAnsi="Calibri"/>
          <w:b/>
          <w:color w:val="1A2010"/>
          <w:sz w:val="40"/>
        </w:rPr>
        <w:t xml:space="preserve">  BlackRock Corporate High Yield Fund, Inc.</w:t>
      </w:r>
    </w:p>
    <w:p>
      <w:pPr>
        <w:spacing w:after="120"/>
      </w:pPr>
      <w:r>
        <w:rPr>
          <w:rFonts w:ascii="Calibri" w:hAnsi="Calibri"/>
          <w:b/>
          <w:color w:val="6E8450"/>
          <w:sz w:val="18"/>
        </w:rPr>
        <w:t>DIVIDEND SLEEVE · 2026-08-05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Closed-End Fund - Fixed Income · NYSE · United States</w:t>
      </w:r>
    </w:p>
    <w:p>
      <w:pPr>
        <w:spacing w:after="80"/>
      </w:pPr>
      <w:r>
        <w:rPr>
          <w:rFonts w:ascii="Calibri" w:hAnsi="Calibri"/>
          <w:b w:val="0"/>
          <w:color w:val="3A4A28"/>
          <w:sz w:val="20"/>
        </w:rPr>
        <w:t>BlackRock Corporate High Yield Fund is a closed-end fixed income fund managed by BlackRock Advisors, LLC. The fund invests at least 80% of assets in domestic and foreign high yield securities including bonds, corporate loans, convertible debt, and preferred securities rated below investment grade. Formed in May 2003, the fund uses approximately 22% leverage to enhance income and targets current income as its primary objective with capital appreciation as secondary. Total assets are approximately $1.8B with a distribution rate of approximately 10.9% on market price.</w:t>
      </w:r>
    </w:p>
    <w:p>
      <w:r>
        <w:rPr>
          <w:rFonts w:ascii="Calibri" w:hAnsi="Calibri"/>
          <w:b/>
          <w:color w:val="6E8450"/>
          <w:sz w:val="18"/>
        </w:rPr>
        <w:t>https://www.blackrock.com/us/individual/products/240182/blackrock-corporate-high-yield-fund-vi-inc-usd-fund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As a closed-end fixed income fund, HYT does not launch products, execute business pivots, or transform its business model — its mandate of investing in below-investment-grade credit has been unchanged since inception in 2003 [1]. AI Deployment (0/2): No AI products shipped to customers. The fund is a passive investment vehicle; while parent BlackRock deploys AI through its Aladdin platform for portfolio analytics and risk management, HYT itself generates no AI-driven revenue or quantified savings at the fund level [2]. Market Share (1/2): BlackRock is the world's largest asset manager with $11.6T in AUM, and HYT at $1.8B in total assets is one of the larger dedicated high-yield CEFs, providing scale advantages in credit market access and trading execution [1]. Product Pipeline (0/2): No product pipeline — CEFs operate under fixed investment mandates with no next-generation products. R&amp;D Intensity (0/1): No R&amp;D expenditure; the fund is an investment vehicle, not a technology or product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BlackRock's stated purpose is 'to help more and more people experience financial well-being,' which is clear but generic and interchangeable with any large asset manager [2]. HYT itself exists solely to provide high-yield income to shareholders — a financial objective, not a transformative vision. Community Impact (0/2): No evidence of HYT-specific charitable giving or community programs. BlackRock has corporate philanthropy through its foundation, but HYT as a fund vehicle has no charitable mandate or community investment [2]. Employee Retention (0/2): HYT has no employees — it is managed externally by BlackRock Advisors, LLC, with John Perlowski serving as CEO. Employee metrics are not applicable to this fund entity. Insider Buying (1/2): BlackRock's alignment with the fund is demonstrated through the January 2026 oversubscribed rights offering that raised additional capital, though no specific insider buying data in HYT shares by fund officers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given HYT's nature as a closed-end fund rather than an operating company [3]. Most standard corporate metrics (forward P/E, PEG) are not meaningfully comparable for a leveraged fixed income CEF. Revenue (interest income) of $149.2M grew just 0.73% YoY in 2025, well below the 10% target, reflecting stable but stagnant coupon income [3]. D/E of 28.2% is well below the 70% target (scores 1.0). ROE of 9.5% is below the 15% target but above the 0% floor. Profit margin of 97.8% reflects the pass-through income structure of a fund vehicle. The fund has paid distributions continuously for 23 years since 2003 inception (scores 1.0 on consecutive years paid), but distribution growth has been zero for the past 5 years — flat at $0.936 annually since 2020. Payout ratio above 100% at 102.7% scores 0.0. Liquidity is adequate at approximately $6.2M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HYT benefits from BlackRock's institutional durability and Larry Fink's long-tenured leadership, but as a closed-end fund vehicle it has limited strategic autonomy. The fund's 23-year operating history and consistent income mandate demonstrate staying power, but CEF structures are inherently finite instruments — they exist to distribute capital and optimize yield quarter to quarter, not to build toward an enduring cause that outlasts any single product or leader.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HYT exists to provide current income to shareholders through high-yield credit — a clear financial objective but not a Just Cause in Sinek's framework [1]. BlackRock's broader purpose of democratizing financial well-being is genuine but generic in asset management. The fund's mandate has remained consistent since 2003, showing durability, but consistency of a narrow income objective does not constitute a transformative, idealistic, never-fully-achievable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BlackRock's fund management teams operate within one of the world's most stable asset management organizations, with CEO Larry Fink providing 36 years of continuous leadership [2]. The firm is consistently ranked as a top financial services employer. However, HYT's external management structure means the fund itself does not have 'teams' in the traditional organizational sense — portfolio managers serve across multiple BlackRock vehicles.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BlackRock operates in a competitive high-yield credit market alongside PIMCO, Ares Capital, Apollo Global Management, and other sophisticated fixed income managers [1]. Fink's annual letters discuss industry evolution constructively, and the firm's investment in Aladdin technology is explicitly framed as a response to competitive dynamics in analytics and risk management rather than zero-sum warfare.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closed-end fund with a fixed investment mandate, HYT is structurally incapable of existential flexibility [1]. The fund cannot pivot from high-yield bonds to equities, real estate, or any other asset class without shareholder approval and regulatory filings. The 22% leverage structure and distribution policy are managed within narrow parameters dictated by the fund's prospectus. This rigidity is by design for income investors but represents zero flexibility in Sinek's framework.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At the fund level, HYT's managers have no latitude for courageous strategic decisions beyond portfolio positioning within the fixed mandate [1]. The fund cannot sacrifice short-term income for long-term capability building — its entire purpose is short-term income generation. While BlackRock broadly has shown some corporate courage, HYT's structure precludes the kind of costly long-term bets that characterize courageous leadership in Sinek's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HYT offers a 10.93% distribution yield backed by BlackRock's institutional-grade credit management and a $1.8B diversified high-yield portfolio with 22% leverage [1]. The fund has delivered income continuously for 23 years since its 2003 inception, and the January 2026 oversubscribed rights offering signals strong investor demand for high-yield CEF income. P/E of 9.36 on TTM EPS of $0.91, D/E of just 28.2%, and a Morningstar Bronze rating position the fund competitively among high-yield CEFs. The closed-end structure allows managers to invest in less liquid high-yield opportunities that open-end funds cannot access, potentially generating alpha through credit selection.</w:t>
      </w:r>
    </w:p>
    <w:p>
      <w:pPr>
        <w:spacing w:after="120"/>
      </w:pPr>
      <w:r>
        <w:rPr>
          <w:rFonts w:ascii="Calibri" w:hAnsi="Calibri"/>
          <w:b w:val="0"/>
          <w:color w:val="3A4A28"/>
          <w:sz w:val="20"/>
        </w:rPr>
        <w:t>The bear case centers on structural NAV erosion and fee drag. The payout ratio exceeding 100% at 102.7% means HYT distributes more than it earns — in 2025, approximately 25% of distributions were classified as return of capital rather than net investment income [3]. NAV declined from $9.65 at year-end 2025 to $9.19 by mid-2026, a 4.8% erosion that partially offsets the high yield. Zero dividend growth over the past five years provides no inflation protection, and the 2.33% expense ratio is nearly 5x the cost of ETF alternatives like iShares HYG (0.49%). Revenue growth of just 0.73% YoY confirms the fund's income is stagnant. Rising defaults in high-yield credit markets during any economic slowdown would directly impair portfolio value and could force distribution cuts, with the 22% leverage amplifying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would compress high-yield credit spreads and drive NAV appreciation, potentially narrowing the fund's persistent ~7% discount to NAV and boosting total returns [1]</w:t>
      </w:r>
    </w:p>
    <w:p>
      <w:pPr>
        <w:spacing w:before="40" w:after="40"/>
        <w:ind w:left="283"/>
      </w:pPr>
      <w:r>
        <w:rPr>
          <w:rFonts w:ascii="Calibri" w:hAnsi="Calibri"/>
          <w:b/>
          <w:color w:val="4A6B25"/>
          <w:sz w:val="20"/>
        </w:rPr>
        <w:t xml:space="preserve">2. </w:t>
      </w:r>
      <w:r>
        <w:rPr>
          <w:rFonts w:ascii="Calibri" w:hAnsi="Calibri"/>
          <w:b w:val="0"/>
          <w:color w:val="3A4A28"/>
          <w:sz w:val="20"/>
        </w:rPr>
        <w:t>BlackRock's Aladdin platform providing institutional-grade credit analytics may help the fund navigate credit cycles more effectively than smaller competitors, supporting risk-adjusted returns [2]</w:t>
      </w:r>
    </w:p>
    <w:p>
      <w:pPr>
        <w:spacing w:before="40" w:after="40"/>
        <w:ind w:left="283"/>
      </w:pPr>
      <w:r>
        <w:rPr>
          <w:rFonts w:ascii="Calibri" w:hAnsi="Calibri"/>
          <w:b/>
          <w:color w:val="4A6B25"/>
          <w:sz w:val="20"/>
        </w:rPr>
        <w:t xml:space="preserve">3. </w:t>
      </w:r>
      <w:r>
        <w:rPr>
          <w:rFonts w:ascii="Calibri" w:hAnsi="Calibri"/>
          <w:b w:val="0"/>
          <w:color w:val="3A4A28"/>
          <w:sz w:val="20"/>
        </w:rPr>
        <w:t>The January 2026 oversubscribed rights offering provides fresh capital to deploy in potentially attractive high-yield credits at wider spreads, enhancing forward income generation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above 100% structurally erodes NAV over time — the 25% return-of-capital component means shareholders receive income partly from their own principal, creating a slow NAV erosion that accelerates in credit downturns [3]</w:t>
      </w:r>
    </w:p>
    <w:p>
      <w:pPr>
        <w:spacing w:before="40" w:after="40"/>
        <w:ind w:left="283"/>
      </w:pPr>
      <w:r>
        <w:rPr>
          <w:rFonts w:ascii="Calibri" w:hAnsi="Calibri"/>
          <w:b/>
          <w:color w:val="4A6B25"/>
          <w:sz w:val="20"/>
        </w:rPr>
        <w:t xml:space="preserve">2. </w:t>
      </w:r>
      <w:r>
        <w:rPr>
          <w:rFonts w:ascii="Calibri" w:hAnsi="Calibri"/>
          <w:b w:val="0"/>
          <w:color w:val="3A4A28"/>
          <w:sz w:val="20"/>
        </w:rPr>
        <w:t>Economic recession would spike high-yield default rates above the historical 3-4% average, directly impairing portfolio holdings and forcing potential distribution cuts, with 22% leverage amplifying downside [1]</w:t>
      </w:r>
    </w:p>
    <w:p>
      <w:pPr>
        <w:spacing w:before="40" w:after="40"/>
        <w:ind w:left="283"/>
      </w:pPr>
      <w:r>
        <w:rPr>
          <w:rFonts w:ascii="Calibri" w:hAnsi="Calibri"/>
          <w:b/>
          <w:color w:val="4A6B25"/>
          <w:sz w:val="20"/>
        </w:rPr>
        <w:t xml:space="preserve">3. </w:t>
      </w:r>
      <w:r>
        <w:rPr>
          <w:rFonts w:ascii="Calibri" w:hAnsi="Calibri"/>
          <w:b w:val="0"/>
          <w:color w:val="3A4A28"/>
          <w:sz w:val="20"/>
        </w:rPr>
        <w:t>The 2.33% expense ratio significantly erodes net returns versus low-cost high-yield ETF alternatives (HYG 0.49%, JNK 0.40%), making HYT's income advantage largely illusory after fees for investors who do not require the closed-end 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HYT's revenue derives entirely from coupon payments and interest income on a portfolio of high-yield bonds and corporate loans — AI structurally cannot displace bond coupon payments or eliminate demand for below-investment-grade credit [1]. The fund's $1.8B portfolio of physical debt securities generates interest income regardless of AI developments. Credit markets are heavily regulated, relationship-driven, and require legal enforceability that AI cannot replicate. AI-driven expansion of data centers and technology infrastructure actually increases demand for high-yield capital, potentially benefiting the credit markets HYT invests in. No analysts have flagged AI as a risk to closed-end fund income vehicles. AI Opportunity (0/1): HYT generates no AI-related revenue. While parent BlackRock uses Aladdin's AI capabilities for portfolio analytics, HYT itself does not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BlackRock Corporate High Yield Fund Fact Sheet as of March 31, 2026 and SEC NPORT-P Filing, Q1 FY2026</w:t>
      </w:r>
    </w:p>
    <w:p>
      <w:pPr>
        <w:spacing w:before="20" w:after="20"/>
        <w:ind w:left="170"/>
      </w:pPr>
      <w:r>
        <w:rPr>
          <w:rFonts w:ascii="Calibri" w:hAnsi="Calibri"/>
          <w:b/>
          <w:color w:val="4A6B25"/>
          <w:sz w:val="15"/>
        </w:rPr>
        <w:t xml:space="preserve">2. </w:t>
      </w:r>
      <w:r>
        <w:rPr>
          <w:rFonts w:ascii="Calibri" w:hAnsi="Calibri"/>
          <w:b w:val="0"/>
          <w:color w:val="3A4A28"/>
          <w:sz w:val="17"/>
        </w:rPr>
        <w:t>BlackRock Corporate High Yield Fund Profile — BlackRock.com and Yahoo Finance,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and Morningstar — HYT Key Statistics, Revenue, and Distribution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