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ICL</w:t>
      </w:r>
      <w:r>
        <w:rPr>
          <w:rFonts w:ascii="Calibri" w:hAnsi="Calibri"/>
          <w:b/>
          <w:color w:val="1A2010"/>
          <w:sz w:val="40"/>
        </w:rPr>
        <w:t xml:space="preserve">  ICL Group Ltd.</w:t>
      </w:r>
    </w:p>
    <w:p>
      <w:pPr>
        <w:spacing w:after="120"/>
      </w:pPr>
      <w:r>
        <w:rPr>
          <w:rFonts w:ascii="Calibri" w:hAnsi="Calibri"/>
          <w:b/>
          <w:color w:val="6E8450"/>
          <w:sz w:val="18"/>
        </w:rPr>
        <w:t>DIVIDEND SLEEVE · 2026-07-26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Israel</w:t>
      </w:r>
    </w:p>
    <w:p>
      <w:pPr>
        <w:spacing w:after="80"/>
      </w:pPr>
      <w:r>
        <w:rPr>
          <w:rFonts w:ascii="Calibri" w:hAnsi="Calibri"/>
          <w:b w:val="0"/>
          <w:color w:val="3A4A28"/>
          <w:sz w:val="20"/>
        </w:rPr>
        <w:t>ICL Group is a global specialty minerals and chemicals company operating across Industrial Products, Potash, Phosphate Solutions, and Growing Solutions segments. The company extracts bromine and potash from the Dead Sea under a government concession expiring in 2030, produces specialty phosphates for food and industrial applications, and develops precision agriculture fertilizer solutions. Headquartered in Tel Aviv, serving pharmaceutical, food, agriculture, and industrial markets worldwide.</w:t>
      </w:r>
    </w:p>
    <w:p>
      <w:r>
        <w:rPr>
          <w:rFonts w:ascii="Calibri" w:hAnsi="Calibri"/>
          <w:b/>
          <w:color w:val="6E8450"/>
          <w:sz w:val="18"/>
        </w:rPr>
        <w:t>12,165 Employees · https://www.icl-group.com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ICL has expanded its specialty minerals portfolio beyond commodity fertilizers over the past five years, including phosphate-based food additives, flame retardants, and battery-grade LFP materials for energy storage, but no single launch has been transformational — the Dead Sea commodity base remains central [1][3]. AI Deployment (0/2): ICL deploys digital agronomy platforms through its Growing Solutions segment and uses the 'BIG' (Business Innovation for Growth) employee innovation program, but no specific AI-driven revenue or quantified cost savings have been reported [3]. Market Share (1/2): ICL holds a dominant position in Dead Sea bromine (sole extractor alongside subsidiaries) and is among the top global potash producers, but operates in commodity-driven markets where differentiation is incremental [1]. Pipeline (1/2): Battery materials (lithium iron phosphate), specialty phosphate food ingredients, and precision agriculture tools are under development with general R&amp;D activity but vague commercialization timelines [3]. R&amp;D Intensity (1/1): R&amp;D investment at industry-average levels for specialty chemicals, supplemented by the Harvard-recognized BIG innovation program empowering employee-driven proposals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ICL's mission of 'creating impactful solutions for humanity's sustainability challenges in food, agriculture, and industrial markets' is clear, sector-specific, and connects mineral extraction to food security outcomes — but it is not yet distinctive enough to differentiate meaningfully from peer specialty chemicals companies [3]. Community Impact (1/2): The company has achieved a 22.2% reduction in Scope 1 and 2 GHG emissions since 2018, restored the Ashalim creek following a 2017 environmental incident, and improved its MSCI ESG rating to A in 2025, demonstrating tangible environmental investment aligned with its resource stewardship role [3]. Employee Retention (1/2): Glassdoor shows an 82% recommendation rate and 3.7/5 on culture, suggesting adequate employee satisfaction but no standout retention metrics or evidence of mission-driven loyalty. Insider Buying (0/2): New CEO Elad Aharonson has taken the helm, but no evidence of meaningful net insider buying by executives was identified; the leadership transition itself introduces uncertainty about continuity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available metrics. Q1 2026 delivered $2.0B revenue (up 14% YoY) with adjusted EBITDA of $412M (up 15%), prompting management to raise full-year 2026 EBITDA guidance to $1.5-1.7B — a $100M increase from prior guidance [1]. Potash segment was the standout with sales up 25% and EBITDA up 45% on higher prices and improved Dead Sea and Spain production. D/E of 50% is well within the 70% target. However, profit margin remains depressed at 3.52% and ROE of 7.44% is still well below the 15% target. Dividend metrics are mixed: 3.26% yield and 12 consecutive years paid are solid, but a ~90% trailing payout ratio, zero consecutive years of growth, and negative 5yr dividend growth CAGR (-1.7%) drag the score. The improving earnings trajectory with raised guidance suggests these metrics should improve through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ICL demonstrates genuine long-term orientation rooted in stewardship of finite Dead Sea resources and a strategic pivot toward specialty minerals for sustainability applications. However, its cyclical commodity exposure, dividend volatility, and the approaching 2030 Dead Sea concession expiration reveal tension between long-term stewardship and near-term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ICL's cause of solving 'humanity's sustainability challenges in food, agriculture, and industrial markets' connects its mineral extraction work to food security — a genuine purpose that differentiates from pure commodity miners [3]. The mission has guided the strategic pivot toward specialty chemicals, battery materials, and precision agriculture. However, the cause has not been validated by decades of consistent execution through major crises, and the upcoming Dead Sea concession renewal (2030) creates uncertainty about the company's long-term resource foundation.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ICL's Glassdoor rating of 3.7/5 on culture with 82% recommendation indicates an adequate work environment. The BIG (Business Innovation for Growth) innovation program — recognized by Harvard Business School — empowers employees across global operations to propose and execute ideas, suggesting meaningful organizational trust [3]. However, the CEO transition from Raviv Zoller to Elad Aharonson introduces leadership uncertainty, and the company has undergone segment restructuring that may affect team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ICL acknowledges competitors like Nutrien and Mosaic as driving forces for improving its specialty portfolio and pivoting beyond commodity potash. Management's strategic emphasis on differentiation through specialty minerals and sustainability — rather than competing purely on volume or price — reflects an improvement-oriented competitive mindset focused on building distinctive capabilities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ICL has incrementally evolved from a commodity potash and bromine producer to a specialty minerals and precision agriculture company, entering food-grade phosphates, flame retardants, and LFP battery materials [3]. These shifts are meaningful and strategically coherent but evolutionary rather than transformative — the Dead Sea resource base remains central to the company's identity and operations. The company has not made a bold, self-disruptive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ICL invested in specialty chemical diversification and sustainability initiatives during the post-2022 commodity downturn, accepting lower near-term margins to build higher-value product lines [1]. The company maintained its sustainability commitments and GHG reduction targets even as profitability declined sharply. However, dividend cuts from 2022 highs and the CEO change suggest some reactive rather than purely proactive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ICL Group at 12.4x forward earnings offers a low-leverage specialty minerals company (D/E 50%) positioned at the intersection of food security and sustainability, with a recovering earnings trajectory. Q1 2026 delivered $2.0B revenue (up 14% YoY) and $412M adjusted EBITDA (up 15%), with potash sales surging 25% on higher prices and improved production, prompting management to raise full-year 2026 EBITDA guidance by $100M to $1.5-1.7B [1]. The Dead Sea concession provides irreplaceable bromine and potash resources, while the specialty pivot into food-grade phosphates, battery materials (LFP), and precision agriculture positions ICL for higher-margin growth. The Inspire Impact Score of 64 (ALIGNED) with 19 positive attributions and zero negative flags reflects exceptional faith-based governance alignment.</w:t>
      </w:r>
    </w:p>
    <w:p>
      <w:pPr>
        <w:spacing w:after="120"/>
      </w:pPr>
      <w:r>
        <w:rPr>
          <w:rFonts w:ascii="Calibri" w:hAnsi="Calibri"/>
          <w:b w:val="0"/>
          <w:color w:val="3A4A28"/>
          <w:sz w:val="20"/>
        </w:rPr>
        <w:t>The bear case centers on the approaching Dead Sea concession expiration in 2030 — ICL's irreplaceable resource advantage depends on renewal terms that may impose stricter environmental requirements or higher royalties [3]. Profitability remains severely depressed with profit margin of just 3.52% and ROE of 7.44%, far below the 15% target and well below the 2022 commodity boom levels when margins reached 20%+. The dividend is strained with a ~90% trailing payout ratio, zero consecutive years of growth, and a negative 5yr CAGR of -1.7% — leaving minimal buffer if earnings disappoint. The CEO transition from Raviv Zoller to Elad Aharonson introduces execution uncertainty at a critical time. Geopolitical risk from Israeli operations and regional conflicts creates a structural discount, and potash prices remain well below 2022 peaks despite the recent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EBITDA guidance to $1.5-1.7B validates the earnings recovery trajectory, with potash volumes targeting 4.5-4.7M metric tons and higher bromine prices providing tailwinds [1]</w:t>
      </w:r>
    </w:p>
    <w:p>
      <w:pPr>
        <w:spacing w:before="40" w:after="40"/>
        <w:ind w:left="283"/>
      </w:pPr>
      <w:r>
        <w:rPr>
          <w:rFonts w:ascii="Calibri" w:hAnsi="Calibri"/>
          <w:b/>
          <w:color w:val="4A6B25"/>
          <w:sz w:val="20"/>
        </w:rPr>
        <w:t xml:space="preserve">2. </w:t>
      </w:r>
      <w:r>
        <w:rPr>
          <w:rFonts w:ascii="Calibri" w:hAnsi="Calibri"/>
          <w:b w:val="0"/>
          <w:color w:val="3A4A28"/>
          <w:sz w:val="20"/>
        </w:rPr>
        <w:t>Dead Sea concession renewal negotiations ahead of 2030 expiration — favorable terms would provide decades of resource certainty and remove a key overhang on the stock [3]</w:t>
      </w:r>
    </w:p>
    <w:p>
      <w:pPr>
        <w:spacing w:before="40" w:after="40"/>
        <w:ind w:left="283"/>
      </w:pPr>
      <w:r>
        <w:rPr>
          <w:rFonts w:ascii="Calibri" w:hAnsi="Calibri"/>
          <w:b/>
          <w:color w:val="4A6B25"/>
          <w:sz w:val="20"/>
        </w:rPr>
        <w:t xml:space="preserve">3. </w:t>
      </w:r>
      <w:r>
        <w:rPr>
          <w:rFonts w:ascii="Calibri" w:hAnsi="Calibri"/>
          <w:b w:val="0"/>
          <w:color w:val="3A4A28"/>
          <w:sz w:val="20"/>
        </w:rPr>
        <w:t>Battery materials (LFP) commercialization could open a high-margin revenue stream as EV and energy storage demand accelerates, leveraging ICL's phosphate expertise into clean energy supply chains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Dead Sea concession expiring in 2030 creates existential uncertainty — renewal terms may impose stricter environmental mandates, higher royalties, or operational restrictions that compress margins [3]</w:t>
      </w:r>
    </w:p>
    <w:p>
      <w:pPr>
        <w:spacing w:before="40" w:after="40"/>
        <w:ind w:left="283"/>
      </w:pPr>
      <w:r>
        <w:rPr>
          <w:rFonts w:ascii="Calibri" w:hAnsi="Calibri"/>
          <w:b/>
          <w:color w:val="4A6B25"/>
          <w:sz w:val="20"/>
        </w:rPr>
        <w:t xml:space="preserve">2. </w:t>
      </w:r>
      <w:r>
        <w:rPr>
          <w:rFonts w:ascii="Calibri" w:hAnsi="Calibri"/>
          <w:b w:val="0"/>
          <w:color w:val="3A4A28"/>
          <w:sz w:val="20"/>
        </w:rPr>
        <w:t>Profit margin of 3.52% and trailing payout ratio of ~90% create dividend sustainability risk — any earnings shortfall would pressure the $0.18 annual dividend, which already shows a -1.7% 5yr CAGR</w:t>
      </w:r>
    </w:p>
    <w:p>
      <w:pPr>
        <w:spacing w:before="40" w:after="40"/>
        <w:ind w:left="283"/>
      </w:pPr>
      <w:r>
        <w:rPr>
          <w:rFonts w:ascii="Calibri" w:hAnsi="Calibri"/>
          <w:b/>
          <w:color w:val="4A6B25"/>
          <w:sz w:val="20"/>
        </w:rPr>
        <w:t xml:space="preserve">3. </w:t>
      </w:r>
      <w:r>
        <w:rPr>
          <w:rFonts w:ascii="Calibri" w:hAnsi="Calibri"/>
          <w:b w:val="0"/>
          <w:color w:val="3A4A28"/>
          <w:sz w:val="20"/>
        </w:rPr>
        <w:t>Geopolitical risk from Israeli operations including regional conflicts, potential sanctions impacts on trade routes, and the structural market discount applied to Israel-domiciled companies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ICL's core business — physical extraction of potash and bromine from the Dead Sea, specialty chemical manufacturing, and fertilizer distribution — is structurally immune to AI substitution [1]. Mining, chemical processing, and agricultural input supply chains require physical-world operations, geological resource access, and regulatory-gated extraction concessions that AI cannot displace. The Dead Sea concession provides a natural resource moat that is irreplaceable regardless of AI advancement. AI may modestly enhance ICL's precision agriculture offerings and optimize extraction and logistics processes, but the business is fundamentally protected by geological scarcity and physical-world operations. AI Opportunity (0/1): No quantifiable AI-derived revenue or AI-powered products have been reported; digital agronomy tools exist but generate no disclosed AI-specific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ICL Group Q1 2026 Earnings Release and Raised EBITDA Guidance — TipRanks /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ICL Key Statistics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ICL Group Corporate Website — Sustainability Reports, Dead Sea Concession, and BIG Innovation Program,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