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IEP</w:t>
      </w:r>
      <w:r>
        <w:rPr>
          <w:rFonts w:ascii="Calibri" w:hAnsi="Calibri"/>
          <w:b/>
          <w:color w:val="1A2010"/>
          <w:sz w:val="40"/>
        </w:rPr>
        <w:t xml:space="preserve">  Icahn Enterprises L.P.</w:t>
      </w:r>
    </w:p>
    <w:p>
      <w:pPr>
        <w:spacing w:after="120"/>
      </w:pPr>
      <w:r>
        <w:rPr>
          <w:rFonts w:ascii="Calibri" w:hAnsi="Calibri"/>
          <w:b/>
          <w:color w:val="6E8450"/>
          <w:sz w:val="18"/>
        </w:rPr>
        <w:t>DIVIDEND SLEEVE · 2026-08-08 · Inspire: -1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Conglomerates · Diversified Holding Companies · NASDAQ · United States</w:t>
      </w:r>
    </w:p>
    <w:p>
      <w:pPr>
        <w:spacing w:after="80"/>
      </w:pPr>
      <w:r>
        <w:rPr>
          <w:rFonts w:ascii="Calibri" w:hAnsi="Calibri"/>
          <w:b w:val="0"/>
          <w:color w:val="3A4A28"/>
          <w:sz w:val="20"/>
        </w:rPr>
        <w:t>Icahn Enterprises L.P. is a diversified holding company controlled by activist investor Carl Icahn. The company operates through multiple segments including Investment, Energy (CVR Energy), Automotive (Pep Boys, sold mid-2026), Food Packaging, Real Estate, Home Fashion, and Pharma. Listed as a limited partnership on NASDAQ, IEP is primarily a vehicle for Icahn's activist investing strategy and portfolio management.</w:t>
      </w:r>
    </w:p>
    <w:p>
      <w:r>
        <w:rPr>
          <w:rFonts w:ascii="Calibri" w:hAnsi="Calibri"/>
          <w:b/>
          <w:color w:val="6E8450"/>
          <w:sz w:val="18"/>
        </w:rPr>
        <w:t>19,600 Employees · https://www.ielp.com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Icahn Enterprises has not launched any meaningful new products or executed transformative pivots in the last five years. The business portfolio has contracted — the company sold Pep Boys (automotive segment) for $700M in mid-2026, and its energy subsidiary CVR Energy has declined $435M in value in Q2 2026 alone [1][2]. The Investment Funds segment has generated persistent net losses from broad market hedges. AI Deployment (0/2): No AI deployment or strategy evident across any of IEP's portfolio companies. This is a financial holding company focused on activist investing and operational turnarounds, not technology deployment. Market Share (1/2): CVR Energy maintains meaningful refining capacity and nitrogen fertilizer production, giving IEP exposure to energy markets, though not as a category leader [1]. Product Pipeline (0/2): No next-generation products or pipeline visibility. IEP's strategy is acquisition and activist investing, not product development. R&amp;D Intensity (1/1): Not applicable in the traditional sense, but Icahn's investment approach represents a form of intellectual capital deployment, and CVR Energy maintains standard refining R&amp;D. Scored charitably at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Icahn Enterprises does not articulate a mission beyond value creation for unitholders through activist investing. Carl Icahn's philosophy of 'unlocking value in underperforming companies' is a financial objective, not a purpose-driven mission [3]. It is interchangeable with any activist fund. Community Impact (0/2): No evidence of charitable programs, foundation, or community investment tied to Icahn Enterprises. Carl Icahn's personal philanthropy (Icahn School of Medicine at Mount Sinai) is separate from IEP operations. Employee Retention (1/2): Average retention across portfolio companies; no standout data. The CFO-to-CEO internal promotion of Ted Papapostolou (CFO since 2021, promoted May 2026) suggests some leadership continuity within the holding company [3]. Insider Buying (1/2): Carl Icahn controls approximately 85% of IEP units, representing massive insider ownership. However, the SEC settlement in 2024 revealed he had pledged 51-82% of his shares as collateral for up to $5B in personal loans — a significant governance concern that undermines the conviction signal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(Dividend sleeve, 10 weight units). IEP's financials are deeply challenged. D/E of approximately 443% (debt $7.71B against equity $1.74B) is far above the 70% target and near the 300% floor [5]. ROE of -17.8% is negative, scoring 0 [5]. Revenue growth YoY is approximately 24% ($10.35B TTM vs prior periods), though this is lumpy and driven by commodity prices rather than organic growth. Profit margin of -3.1% is negative, scoring 0 [5]. Forward P/E is not meaningful with negative earnings. The $2.00 annual dividend ($0.50/quarter) represents massive cuts from $8.00 in 2022 and $4.00 in 2023, with consecutive growth years at 0. Payout ratio is not meaningful with negative earnings. Stock price of $7.76 with average daily volume of 905,593 gives daily dollar volume of approximately $7.0M, passing the liquidity floor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Icahn Enterprises is a textbook finite game player. The entire enterprise exists to extract value through activist campaigns, financial engineering, and operational pressure. Carl Icahn's approach — taking positions, forcing board changes, demanding buybacks and dividends — is the definition of playing to win this quarter. The repeated dividend cuts from $8 to $2 annually, the SEC settlement over undisclosed share pledges, and the persistent net losses while maintaining distributions all reflect short-term financial optimization over long-term capability building.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Icahn Enterprises has no Just Cause. The company exists to 'unlock shareholder value' through activist investing — a purely financial objective. Carl Icahn's investing philosophy, while intellectually rigorous, is about extracting value from underperforming companies, not advancing a vision of a better future [3]. There is no resilient, inclusive, service-oriented purpose that extends beyond profit. Sinek would identify this as a definitively finite player.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internal promotion of Ted Papapostolou from CFO to CEO (May 2026) and the broader leadership restructuring suggest some organizational stability within the holding company [3]. Executives appear to have long tenures within the Icahn ecosystem. However, the activist model inherently creates adversarial dynamics — IEP's approach to portfolio companies involves replacing management, cutting costs, and forcing strategic changes, which is antithetical to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Icahn's competitive language is exclusively about 'winning' — defeating incumbent management, forcing changes, outmaneuvering other investors. His public feuds with Bill Ackman and other investors, and his dismissal of Hindenburg Research as issuing 'knowingly false reports,' reflect a combative, zero-sum competitive mindset [4]. There is no evidence of acknowledging rivals' strengths or using competition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IEP has not demonstrated transformative strategic pivots. The company has been a diversified holding company running the same activist investing playbook for decades. Portfolio changes (selling Pep Boys, adjusting energy exposure) are incremental asset management decisions, not existential reinvention [1][2]. The core strategy of activist investing with leveraged concentrated positions has remained unchanged despite persistent losses.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Leadership decisions at IEP have consistently prioritized short-term financial outcomes. The company maintained unsustainably high distributions ($8/year) while generating losses, then was forced to cut dividends 75% over two years — the opposite of courageous long-term thinking [2]. Carl Icahn pledged 51-82% of IEP units for personal loans without disclosure, prioritizing personal financial needs over unitholder transparency [4]. No evidence of investing during downturns or choosing long-term capability over current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Icahn Enterprises generated $3.0B in Q2 2026 revenue (up from $2.4B YoY), driven by energy segment commodity price recovery and investment fund activity [1]. The indicative NAV of $2.6B against a market cap of ~$5.2B suggests the market prices in Carl Icahn's activist premium and the 26.8% dividend yield ($2.00/year at $0.50/quarter) [2]. The $700M Pep Boys sale provides near-term liquidity, and CVR Energy's refining and fertilizer operations generate real cash flows tied to physical infrastructure that AI cannot disrupt.</w:t>
      </w:r>
    </w:p>
    <w:p>
      <w:pPr>
        <w:spacing w:after="120"/>
      </w:pPr>
      <w:r>
        <w:rPr>
          <w:rFonts w:ascii="Calibri" w:hAnsi="Calibri"/>
          <w:b w:val="0"/>
          <w:color w:val="3A4A28"/>
          <w:sz w:val="20"/>
        </w:rPr>
        <w:t>The bear case is overwhelming. IEP reported a $355M net loss in Q2 2026 and $814M net loss in H1 2026, with adjusted EBITDA deteriorating to a $134M loss from positive $40M a year ago [1]. The dividend has been cut 75% from $8.00 to $2.00 annually over 2023-2024, and negative earnings make even the reduced distribution unsustainable — payout ratio is undefined on negative EPS. D/E of 443% ($7.71B debt against $1.74B equity) represents extreme leverage [5]. The 2024 SEC settlement over undisclosed share pledges damaged governance credibility [4]. NAV declined $765M in a single quarter. Five-year revenue CAGR of -4.4% and negative ROE of -17.8% indicate secular value destruction, not temporary weakness. At 86, Carl Icahn's succession risk is existential — Ted Papapostolou's appointment as CEO has not been tested by a market cycle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Pep Boys $700M sale closing provides immediate liquidity to reduce debt and fund Investment Funds operations, potentially stabilizing the balance sheet</w:t>
      </w:r>
    </w:p>
    <w:p>
      <w:pPr>
        <w:spacing w:before="40" w:after="40"/>
        <w:ind w:left="283"/>
      </w:pPr>
      <w:r>
        <w:rPr>
          <w:rFonts w:ascii="Calibri" w:hAnsi="Calibri"/>
          <w:b/>
          <w:color w:val="4A6B25"/>
          <w:sz w:val="20"/>
        </w:rPr>
        <w:t xml:space="preserve">2. </w:t>
      </w:r>
      <w:r>
        <w:rPr>
          <w:rFonts w:ascii="Calibri" w:hAnsi="Calibri"/>
          <w:b w:val="0"/>
          <w:color w:val="3A4A28"/>
          <w:sz w:val="20"/>
        </w:rPr>
        <w:t>CVR Energy refining margins could recover if crack spreads widen, driving positive EBITDA contribution from the largest portfolio company</w:t>
      </w:r>
    </w:p>
    <w:p>
      <w:pPr>
        <w:spacing w:before="40" w:after="40"/>
        <w:ind w:left="283"/>
      </w:pPr>
      <w:r>
        <w:rPr>
          <w:rFonts w:ascii="Calibri" w:hAnsi="Calibri"/>
          <w:b/>
          <w:color w:val="4A6B25"/>
          <w:sz w:val="20"/>
        </w:rPr>
        <w:t xml:space="preserve">3. </w:t>
      </w:r>
      <w:r>
        <w:rPr>
          <w:rFonts w:ascii="Calibri" w:hAnsi="Calibri"/>
          <w:b w:val="0"/>
          <w:color w:val="3A4A28"/>
          <w:sz w:val="20"/>
        </w:rPr>
        <w:t>Successful activist campaigns in the Investment Funds could generate realized gains that offset persistent hedging losses from broad market short positions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sustainability is questionable — $2.00/year distribution on negative EPS and -17.8% ROE suggests further cuts are likely, which would collapse the stock price given yield-buyer ownership base [1][5]</w:t>
      </w:r>
    </w:p>
    <w:p>
      <w:pPr>
        <w:spacing w:before="40" w:after="40"/>
        <w:ind w:left="283"/>
      </w:pPr>
      <w:r>
        <w:rPr>
          <w:rFonts w:ascii="Calibri" w:hAnsi="Calibri"/>
          <w:b/>
          <w:color w:val="4A6B25"/>
          <w:sz w:val="20"/>
        </w:rPr>
        <w:t xml:space="preserve">2. </w:t>
      </w:r>
      <w:r>
        <w:rPr>
          <w:rFonts w:ascii="Calibri" w:hAnsi="Calibri"/>
          <w:b w:val="0"/>
          <w:color w:val="3A4A28"/>
          <w:sz w:val="20"/>
        </w:rPr>
        <w:t>Carl Icahn succession risk is existential — at age 86, his departure would remove the activist premium and strategic direction that justifies IEP's NAV premium to underlying assets [3]</w:t>
      </w:r>
    </w:p>
    <w:p>
      <w:pPr>
        <w:spacing w:before="40" w:after="40"/>
        <w:ind w:left="283"/>
      </w:pPr>
      <w:r>
        <w:rPr>
          <w:rFonts w:ascii="Calibri" w:hAnsi="Calibri"/>
          <w:b/>
          <w:color w:val="4A6B25"/>
          <w:sz w:val="20"/>
        </w:rPr>
        <w:t xml:space="preserve">3. </w:t>
      </w:r>
      <w:r>
        <w:rPr>
          <w:rFonts w:ascii="Calibri" w:hAnsi="Calibri"/>
          <w:b w:val="0"/>
          <w:color w:val="3A4A28"/>
          <w:sz w:val="20"/>
        </w:rPr>
        <w:t>D/E of 443% with $7.71B in debt creates refinancing risk if credit markets tighten, and the SEC settlement over undisclosed share pledges has damaged institutional investor confidence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Icahn Enterprises operates primarily in physical-world industries — petroleum refining (CVR Energy), automotive services (Pep Boys, now sold), food packaging, real estate, and home fashion. These are tangible asset-intensive businesses where AI poses virtually no substitution risk [1]. Refining crude oil, manufacturing fertilizer, and managing real estate are physical processes that AI cannot replace. The Investment Funds segment involves human-driven activist investing, where Carl Icahn's decades of relationship-based deal-making and boardroom influence are not replicable by AI. Scores 7 rather than 8-9 because the investment management function could face some pressure from AI-driven quantitative strategies over time. AI Opportunity (1/1): CVR Energy can deploy AI for refinery optimization, predictive maintenance, and process efficiency — standard applications in the energy sector that generate measurable operational savings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Icahn Enterprises Q2 2026 Earnings Release — Quarterly Revenue of $3.0B, Net Loss of $355M, August 2026</w:t>
      </w:r>
    </w:p>
    <w:p>
      <w:pPr>
        <w:spacing w:before="20" w:after="20"/>
        <w:ind w:left="170"/>
      </w:pPr>
      <w:r>
        <w:rPr>
          <w:rFonts w:ascii="Calibri" w:hAnsi="Calibri"/>
          <w:b/>
          <w:color w:val="4A6B25"/>
          <w:sz w:val="15"/>
        </w:rPr>
        <w:t xml:space="preserve">2. </w:t>
      </w:r>
      <w:r>
        <w:rPr>
          <w:rFonts w:ascii="Calibri" w:hAnsi="Calibri"/>
          <w:b w:val="0"/>
          <w:color w:val="3A4A28"/>
          <w:sz w:val="17"/>
        </w:rPr>
        <w:t>Icahn Enterprises Q1 2026 10-Q Filing — Revenue $2.98B, EPS -$0.52, SEC Filing 2026</w:t>
      </w:r>
    </w:p>
    <w:p>
      <w:pPr>
        <w:spacing w:before="20" w:after="20"/>
        <w:ind w:left="170"/>
      </w:pPr>
      <w:r>
        <w:rPr>
          <w:rFonts w:ascii="Calibri" w:hAnsi="Calibri"/>
          <w:b/>
          <w:color w:val="4A6B25"/>
          <w:sz w:val="15"/>
        </w:rPr>
        <w:t xml:space="preserve">3. </w:t>
      </w:r>
      <w:r>
        <w:rPr>
          <w:rFonts w:ascii="Calibri" w:hAnsi="Calibri"/>
          <w:b w:val="0"/>
          <w:color w:val="3A4A28"/>
          <w:sz w:val="17"/>
        </w:rPr>
        <w:t>Icahn Enterprises Leadership Change — Ted Papapostolou Promoted to CEO, May 2026; citybiz, Yahoo Finance</w:t>
      </w:r>
    </w:p>
    <w:p>
      <w:pPr>
        <w:spacing w:before="20" w:after="20"/>
        <w:ind w:left="170"/>
      </w:pPr>
      <w:r>
        <w:rPr>
          <w:rFonts w:ascii="Calibri" w:hAnsi="Calibri"/>
          <w:b/>
          <w:color w:val="4A6B25"/>
          <w:sz w:val="15"/>
        </w:rPr>
        <w:t xml:space="preserve">4. </w:t>
      </w:r>
      <w:r>
        <w:rPr>
          <w:rFonts w:ascii="Calibri" w:hAnsi="Calibri"/>
          <w:b w:val="0"/>
          <w:color w:val="3A4A28"/>
          <w:sz w:val="17"/>
        </w:rPr>
        <w:t>Carl Icahn SEC Settlement — $2M combined penalties for undisclosed share pledges; Hindenburg Research report dismissal, 2024</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IEP Key Statistics, D/E 443%, ROE -17.8%, Profit Margin -3.1%,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