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IMSR</w:t>
      </w:r>
      <w:r>
        <w:rPr>
          <w:rFonts w:ascii="Calibri" w:hAnsi="Calibri"/>
          <w:b/>
          <w:color w:val="1A2010"/>
          <w:sz w:val="40"/>
        </w:rPr>
        <w:t xml:space="preserve">  Terrestrial Energy Inc.</w:t>
      </w:r>
    </w:p>
    <w:p>
      <w:pPr>
        <w:spacing w:after="120"/>
      </w:pPr>
      <w:r>
        <w:rPr>
          <w:rFonts w:ascii="Calibri" w:hAnsi="Calibri"/>
          <w:b/>
          <w:color w:val="6E8450"/>
          <w:sz w:val="18"/>
        </w:rPr>
        <w:t>GROWTH SLEEVE · 2026-07-10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Terrestrial Energy Inc. develops Generation IV small modular nuclear power plants based on its proprietary Integral Molten Salt Reactor (IMSR) technology. The reactor uses molten salt as both fuel and coolant, enabling high-temperature, low-pressure operations for clean industrial heat and electricity generation. Completed business combination with HCM II Acquisition Corp in 2025 raising $292M in gross proceeds. Headquartered in Charlotte, North Carolina.</w:t>
      </w:r>
    </w:p>
    <w:p>
      <w:r>
        <w:rPr>
          <w:rFonts w:ascii="Calibri" w:hAnsi="Calibri"/>
          <w:b/>
          <w:color w:val="6E8450"/>
          <w:sz w:val="18"/>
        </w:rPr>
        <w:t>100 Employees · https://www.terrestrialenergy.com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Terrestrial Energy is developing the first commercial molten salt reactor in over 50 years, a genuinely transformative engineering achievement. The company completed a SPAC business combination raising $292M, secured a manufacturing and supply contract with Westinghouse, and obtained NRC Safety Evaluation Report approval for its Postulated Initiating Events Topical Report — only the second such foundational licensing milestone after the Principal Design Criteria approval in September 2025 [2][5]. AI Deployment (0/2): No AI-powered products or AI-driven cost savings. The company targets AI data centers as future customers but does not deploy AI internally [4]. Market Share (0/2): Pre-commercial with no market share; the IMSR technology has not yet generated commercial power. Product Pipeline (1/2): Clear next-generation product with specific regulatory milestones — NRC licensing pathway is progressing, and agreements with Riot Platforms for data center power provide commercial visibility, though no specific plant construction dates have been announced [1][4]. R&amp;D Intensity (1/1): Effectively 100% R&amp;D company — all spending is directed toward reactor development, licensing, and engineering with no commercial revenue to offset.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Terrestrial Energy's purpose centers on providing clean, reliable, low-carbon nuclear energy to meet growing global power demand and address climate change. The mission is clear and connects the company's work to a larger purpose (decarbonization, energy security), but is not yet distinctive — multiple advanced nuclear startups share similar purpose statements [4]. Community Impact (0/2): No evidence of charitable programs or community investment beyond standard corporate operations. Employee Retention (0/2): No employee retention data available; the company is a small pre-commercial startup that recently expanded its leadership team with VP-level hires in Government Relations and Business Development [1]. Insider Buying (0/2): No evidence of meaningful net insider buying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Terrestrial Energy is a pre-revenue nuclear technology company with a $28M net loss in 2025 (increasing $17M from prior year) and an accumulated deficit of $135M [3]. With no commercial revenue, metrics including revenue growth, profit margin, and forward P/E are not calculable. ROE is deeply negative due to ongoing net losses against equity funded by the $292M SPAC proceeds [3]. The company had $77M in cash and $198M in short-term investments as of March 31, 2026, providing approximately 5-6 years of runway at the current burn rate, but generating no operating income. All available metrics score at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Terrestrial Energy has elements of infinite-game thinking — a genuine purpose around clean energy and the willingness to pursue a decades-long technology development path — but the company is too young and untested to earn high marks on Sinek's framework. The Just Cause is real but shared with many peers, and the organization has not yet faced the crises and leadership transitions that test whether a cause is truly durable. The SPAC structure and early-stage nature mean most Infinite Game dimensions cannot be meaningfully evaluated.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Terrestrial Energy's purpose — providing clean, reliable nuclear energy to decarbonize industrial heat and electricity — is a genuine vision of a better future that is inclusive, service-oriented, and bigger than any single product. Founder David LeBlanc, a globally recognized molten salt reactor expert, has pursued this technology for over a decade, and CEO Simon Irish has maintained strategic consistency through the SPAC process [4]. However, the cause has not yet been validated through multi-decade execution,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trust, or team dynamics. The company is a small pre-commercial startup (~100 employees) that recently expanded its senior leadership team [1]. The organization is too small and too early-stage to meaningfully assess on Sinek's Circle of Safety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acknowledging competitors' strengths or using competitive dynamics for self-improvement. The advanced nuclear space includes NuScale, Oklo, Kairos Power, and X-energy, but Terrestrial Energy's public communications focus on its own technology advantages rather than engaging with rivals' strengths. Competitive language is about differentiation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Terrestrial Energy is too young to have faced the test of existential flexibility. The company has pursued a single technology (IMSR) since its founding in 2013 — there has been no need or opportunity for a dramatic strategic pivot. This is neutral rather than negative; the absence of a pivot doesn't indicate rigidity, just insufficient history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Generation IV nuclear technology in a regulatory environment where no advanced reactor has yet achieved commercial operation in the US requires genuine courage. The company committed to the more challenging NRC licensing pathway rather than seeking shortcuts, and the SPAC capital raise of $292M represents a bet on decades-long commercialization [2]. However, leadership has not yet been tested through adversity — the company has capital and no revenue pressure yet.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Terrestrial Energy holds a potentially transformative position in the nuclear energy renaissance, developing Generation IV molten salt reactor technology at a time when AI-driven data center demand is creating unprecedented need for reliable baseload power. The company has achieved critical NRC regulatory milestones — Safety Evaluation Reports for both Principal Design Criteria and Postulated Initiating Events — and secured a manufacturing contract with Westinghouse and a data center power agreement with Riot Platforms [2][4]. With $275M in cash and short-term investments as of Q1 2026 and a $650M market cap, the stock trades at a fraction of the potential value of a commercially viable next-generation nuclear reactor.</w:t>
      </w:r>
    </w:p>
    <w:p>
      <w:pPr>
        <w:spacing w:after="120"/>
      </w:pPr>
      <w:r>
        <w:rPr>
          <w:rFonts w:ascii="Calibri" w:hAnsi="Calibri"/>
          <w:b w:val="0"/>
          <w:color w:val="3A4A28"/>
          <w:sz w:val="20"/>
        </w:rPr>
        <w:t>The risks are substantial and existential for a pre-revenue technology company. Terrestrial Energy generated zero commercial revenue with a $28M annual net loss that increased $17M year-over-year, and the IMSR technology has never produced commercial power [3]. NRC licensing for advanced reactors is a multi-year process with no guaranteed timeline or outcome — no Generation IV reactor has achieved commercial operation in the United States. The stock has declined 80% from its 52-week high of $31.50 to $6.14, indicating that initial SPAC enthusiasm has faded as investors reckon with the long commercialization timeline. Competing advanced nuclear technologies from NuScale, Oklo, and Kairos Power could reach market first, and any NRC regulatory setback could be catastrophic for the company's sole technology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Additional NRC Safety Evaluation Report approvals advancing the IMSR toward a construction permit application, validating the licensing pathway for commercial deployment</w:t>
      </w:r>
    </w:p>
    <w:p>
      <w:pPr>
        <w:spacing w:before="40" w:after="40"/>
        <w:ind w:left="283"/>
      </w:pPr>
      <w:r>
        <w:rPr>
          <w:rFonts w:ascii="Calibri" w:hAnsi="Calibri"/>
          <w:b/>
          <w:color w:val="4A6B25"/>
          <w:sz w:val="20"/>
        </w:rPr>
        <w:t xml:space="preserve">2. </w:t>
      </w:r>
      <w:r>
        <w:rPr>
          <w:rFonts w:ascii="Calibri" w:hAnsi="Calibri"/>
          <w:b w:val="0"/>
          <w:color w:val="3A4A28"/>
          <w:sz w:val="20"/>
        </w:rPr>
        <w:t>New commercial agreements with data center operators, utilities, or industrial customers providing revenue visibility and validating market demand for IMSR technology</w:t>
      </w:r>
    </w:p>
    <w:p>
      <w:pPr>
        <w:spacing w:before="40" w:after="40"/>
        <w:ind w:left="283"/>
      </w:pPr>
      <w:r>
        <w:rPr>
          <w:rFonts w:ascii="Calibri" w:hAnsi="Calibri"/>
          <w:b/>
          <w:color w:val="4A6B25"/>
          <w:sz w:val="20"/>
        </w:rPr>
        <w:t xml:space="preserve">3. </w:t>
      </w:r>
      <w:r>
        <w:rPr>
          <w:rFonts w:ascii="Calibri" w:hAnsi="Calibri"/>
          <w:b w:val="0"/>
          <w:color w:val="3A4A28"/>
          <w:sz w:val="20"/>
        </w:rPr>
        <w:t>Westinghouse manufacturing partnership progressing toward production of IMSR components, demonstrating supply chain readiness for commercial-scale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commercial revenue with $28M annual losses and a technology that has never produced commercial power — any NRC regulatory delay or technical setback could exhaust the $275M cash position before commercialization</w:t>
      </w:r>
    </w:p>
    <w:p>
      <w:pPr>
        <w:spacing w:before="40" w:after="40"/>
        <w:ind w:left="283"/>
      </w:pPr>
      <w:r>
        <w:rPr>
          <w:rFonts w:ascii="Calibri" w:hAnsi="Calibri"/>
          <w:b/>
          <w:color w:val="4A6B25"/>
          <w:sz w:val="20"/>
        </w:rPr>
        <w:t xml:space="preserve">2. </w:t>
      </w:r>
      <w:r>
        <w:rPr>
          <w:rFonts w:ascii="Calibri" w:hAnsi="Calibri"/>
          <w:b w:val="0"/>
          <w:color w:val="3A4A28"/>
          <w:sz w:val="20"/>
        </w:rPr>
        <w:t>80% decline from 52-week high reflects SPAC sentiment unwind, and no near-term revenue catalysts exist to reverse the downtrend in a company with no earnings visibility</w:t>
      </w:r>
    </w:p>
    <w:p>
      <w:pPr>
        <w:spacing w:before="40" w:after="40"/>
        <w:ind w:left="283"/>
      </w:pPr>
      <w:r>
        <w:rPr>
          <w:rFonts w:ascii="Calibri" w:hAnsi="Calibri"/>
          <w:b/>
          <w:color w:val="4A6B25"/>
          <w:sz w:val="20"/>
        </w:rPr>
        <w:t xml:space="preserve">3. </w:t>
      </w:r>
      <w:r>
        <w:rPr>
          <w:rFonts w:ascii="Calibri" w:hAnsi="Calibri"/>
          <w:b w:val="0"/>
          <w:color w:val="3A4A28"/>
          <w:sz w:val="20"/>
        </w:rPr>
        <w:t>Competing advanced nuclear technologies from NuScale, Oklo, Kairos Power, and X-energy may reach commercial deployment first, potentially capturing early contracts and regulatory precedent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Nuclear power plant development is structurally immune to AI disruption. Generating electricity through nuclear fission requires physical infrastructure — reactor vessels, fuel processing, cooling systems, grid interconnection — that AI cannot replicate or substitute [4]. More significantly, AI is actively driving increased demand for reliable baseload power as data centers proliferate; Terrestrial Energy's agreement with Riot Platforms to power data center operations directly positions IMSR as AI infrastructure [4]. Nuclear regulation, construction, and operations require deeply specialized human expertise and physical processes that are beyond AI's reach. No analyst has flagged AI as a risk factor for nuclear energy development. AI Opportunity (0/1): Terrestrial Energy does not generate AI revenue directly. While the company targets AI data centers as future customers, it has no current commercial operations producing power for any customer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Terrestrial Energy CEO Letter Recapping 2025 Milestones — ir.terrestrialenergy.com, 2026</w:t>
      </w:r>
    </w:p>
    <w:p>
      <w:pPr>
        <w:spacing w:before="20" w:after="20"/>
        <w:ind w:left="170"/>
      </w:pPr>
      <w:r>
        <w:rPr>
          <w:rFonts w:ascii="Calibri" w:hAnsi="Calibri"/>
          <w:b/>
          <w:color w:val="4A6B25"/>
          <w:sz w:val="15"/>
        </w:rPr>
        <w:t xml:space="preserve">2. </w:t>
      </w:r>
      <w:r>
        <w:rPr>
          <w:rFonts w:ascii="Calibri" w:hAnsi="Calibri"/>
          <w:b w:val="0"/>
          <w:color w:val="3A4A28"/>
          <w:sz w:val="17"/>
        </w:rPr>
        <w:t>NRC Issues Safety Evaluation Report Approving Terrestrial Energy's IMSR PIE Topical Report — BusinessWire, May 12,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IMSR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Power Magazine — Terrestrial Energy's Push to Commercialize Molten Salt Reactors, 2026</w:t>
      </w:r>
    </w:p>
    <w:p>
      <w:pPr>
        <w:spacing w:before="20" w:after="20"/>
        <w:ind w:left="170"/>
      </w:pPr>
      <w:r>
        <w:rPr>
          <w:rFonts w:ascii="Calibri" w:hAnsi="Calibri"/>
          <w:b/>
          <w:color w:val="4A6B25"/>
          <w:sz w:val="15"/>
        </w:rPr>
        <w:t xml:space="preserve">5. </w:t>
      </w:r>
      <w:r>
        <w:rPr>
          <w:rFonts w:ascii="Calibri" w:hAnsi="Calibri"/>
          <w:b w:val="0"/>
          <w:color w:val="3A4A28"/>
          <w:sz w:val="17"/>
        </w:rPr>
        <w:t>World Nuclear News — US and Canadian Regulators Complete Joint Review of IMSR,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