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IMTE</w:t>
      </w:r>
      <w:r>
        <w:rPr>
          <w:rFonts w:ascii="Calibri" w:hAnsi="Calibri"/>
          <w:b/>
          <w:color w:val="1A2010"/>
          <w:sz w:val="40"/>
        </w:rPr>
        <w:t xml:space="preserve">  Integrated Media Technology Limited</w:t>
      </w:r>
    </w:p>
    <w:p>
      <w:pPr>
        <w:spacing w:after="120"/>
      </w:pPr>
      <w:r>
        <w:rPr>
          <w:rFonts w:ascii="Calibri" w:hAnsi="Calibri"/>
          <w:b/>
          <w:color w:val="6E8450"/>
          <w:sz w:val="18"/>
        </w:rPr>
        <w:t>GROWTH SLEEVE · 2026-08-04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Australia</w:t>
      </w:r>
    </w:p>
    <w:p>
      <w:pPr>
        <w:spacing w:after="80"/>
      </w:pPr>
      <w:r>
        <w:rPr>
          <w:rFonts w:ascii="Calibri" w:hAnsi="Calibri"/>
          <w:b w:val="0"/>
          <w:color w:val="3A4A28"/>
          <w:sz w:val="20"/>
        </w:rPr>
        <w:t>Integrated Media Technology Limited is a technology investment and distribution company headquartered in Adelaide, Australia. The company operates across disparate business lines including manufacture and sale of nano-coated plates for filters and air purifiers, electronic glass, halal certification and distribution, new energy products, and operation of Ouction, a digital asset trading marketplace. Executive Chairman &amp; CEO is Xiaodong Zhang (since 2021).</w:t>
      </w:r>
    </w:p>
    <w:p>
      <w:r>
        <w:rPr>
          <w:rFonts w:ascii="Calibri" w:hAnsi="Calibri"/>
          <w:b/>
          <w:color w:val="6E8450"/>
          <w:sz w:val="18"/>
        </w:rPr>
        <w:t>5 Employees · https://www.imtechltd.com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IMTE generated only $72,641 in annual revenue (2025) across its scattered business lines, with no evidence of successful product launches or meaningful market traction in any segment [1]. Track Record (0/3): The company has added unrelated business lines (halal certification, NFT marketplace, new energy, Credit AI via Greifenberg Digital) over the past 5 years but none have achieved commercial scale — revenue grew 16% YoY but from $62,593 to $72,641, barely enough to pay a single employee. AI Deployment (0/2): Greifenberg Digital launched 'Credit AI' for corporate bond risk analytics, but no evidence of revenue generation or measurable results from a 5-employee company [2]. Market Share (0/2): No meaningful market share in any category. Product Pipeline (0/2): Web3 infrastructure and AI integration into visual display technologies are mentioned without specific timelines or revenue visibility [2]. R&amp;D Intensity (0/1): No discernible R&amp;D investment. Score: 0, minimum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IMTE has no discernible mission, purpose, or vision statement on its website or public materials beyond generic descriptions of its business lines [2]. Community Impact (0/2): No community or charitable programs are evident for a 5-employee company. Employee Retention (0/2): Five full-time employees and no Glassdoor reviews make culture assessment impossible. Insider Buying (0/2): No insider buying data available; the company faces ongoing Nasdaq delisting proceedings for failing to file financial reports and breaching the $1.00 minimum bid price requirement, signaling governance failure rather than leadership conviction [3]. Score: 0 + 0 + 0 + 0 = 0, minimum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10-day average daily volume of 190,000 shares at $0.55 = $104,500 daily dollar volume, far below the $1,000,000 minimum threshold. Infrastructure score is automatically 0 regardless of other metrics [1]. For context, the underlying financials are equally dire: ~$1.9M market cap, $72,641 annual revenue, net margin of -17,745%, ROE of -85.4%, and P/B of 0.10 suggesting the market values the equity at 10 cents on the dollar [1]. The company received additional Nasdaq delisting determinations in January 2026 for failing to file interim financials, adding to the October 2025 delisting notice for failure to file its 20-F annual report. The 180-day compliance period for bid price ended June 29,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IMTE exhibits classic finite-game behavior: serial pivots into unrelated business lines (smart glass, NFTs, halal products, new energy, Web3, Credit AI) without a unifying purpose, failure to file regulatory reports, Nasdaq delisting proceedings, and a ~$1.9M market cap with 5 employees. This is a company fighting for survival through random pivots,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IMTE has no articulated Just Cause. The company has pivoted through at least five unrelated business lines — nano-coated filters, electronic glass, halal certification, digital asset marketplaces, and Web3/AI — with no connecting purpose beyond finding any viable business model [2]. This is the opposite of Sinek's infinite game — reactive survival, not purpose-driven persistence.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 full-time employees, no Glassdoor data, and CEO Xiaodong Zhang serving since 2021, there is insufficient evidence to assess organizational trust. The company's failure to file required SEC reports (Form 20-F, interim financials) and multiple Nasdaq compliance failures suggest governance dysfunction that would undermine trust even in a team this small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IMTE operates at such a small scale ($72,641 revenue) that competitive dynamics are essentially irrelevant. The company does not meaningfully compete in any of its stated markets and has no discernible competitive awareness or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IMTE has demonstrated excessive flexibility — pivoting from smart glass to halal certification to NFT marketplaces to new energy to Web3 infrastructure to Credit AI. However, in Sinek's framework, flexibility without purpose is chaos, not existential flexibility. None of these pivots have achieved commercial viability or served a Just Cause. The one point acknowledges the willingness to try new directions, even if the execution has been incoherent.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failure to file SEC-required financial reports is the opposite of courageous leadership — it reflects either inability or unwillingness to meet basic governance obligations [3]. The company's serial pivots into trending sectors (NFTs, halal, Web3, AI) without building competence in any suggest reactive management rather than courageous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IMTE. The company has a ~$1.9M market cap, $72,641 in annual revenue (2025), 5 employees, and faces active Nasdaq delisting proceedings for failure to file financial reports and breach of the $1.00 minimum bid price [1][3]. The stock trades at $0.55 with daily dollar volume of only ~$104,500, making it effectively uninvestable. The 180-day compliance period for the bid price requirement expired June 29, 2026, and the company reported EPS of $0.049 on May 11, 2026, which may reflect one-time items rather than operational improvement given $72K annual revenue [1].</w:t>
      </w:r>
    </w:p>
    <w:p>
      <w:pPr>
        <w:spacing w:after="120"/>
      </w:pPr>
      <w:r>
        <w:rPr>
          <w:rFonts w:ascii="Calibri" w:hAnsi="Calibri"/>
          <w:b w:val="0"/>
          <w:color w:val="3A4A28"/>
          <w:sz w:val="20"/>
        </w:rPr>
        <w:t>Every dimension of the bear case is active: the company has no viable business model generating meaningful revenue across any of its five-plus scattered product lines. The serial pivots into unrelated sectors (smart glass, NFTs, halal, new energy, Web3, Credit AI) without achieving scale in any suggest management cannot execute. ROE of -85.4% and net margin of -17,745% reflect catastrophic capital destruction relative to the tiny revenue base [1]. Nasdaq delisting proceedings (failure to file 20-F, failure to file interim financials, breach of $1.00 bid price) could result in removal from the exchange, further destroying liquidity [3]. There is no analyst coverage, no institutional ownership, and no discernible path to profitability or business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 credible near-term catalysts — the company must first resolve Nasdaq delisting proceedings, resume timely SEC filings, and demonstrate revenue growth above subsistence levels before any operational catalysts become relevant [3]</w:t>
      </w:r>
    </w:p>
    <w:p>
      <w:pPr>
        <w:spacing w:before="40" w:after="40"/>
        <w:ind w:left="283"/>
      </w:pPr>
      <w:r>
        <w:rPr>
          <w:rFonts w:ascii="Calibri" w:hAnsi="Calibri"/>
          <w:b/>
          <w:color w:val="4A6B25"/>
          <w:sz w:val="20"/>
        </w:rPr>
        <w:t xml:space="preserve">2. </w:t>
      </w:r>
      <w:r>
        <w:rPr>
          <w:rFonts w:ascii="Calibri" w:hAnsi="Calibri"/>
          <w:b w:val="0"/>
          <w:color w:val="3A4A28"/>
          <w:sz w:val="20"/>
        </w:rPr>
        <w:t>Potential reverse stock split to regain Nasdaq $1.00 bid price compliance, though this would not address underlying business viability issues</w:t>
      </w:r>
    </w:p>
    <w:p>
      <w:pPr>
        <w:spacing w:before="40" w:after="40"/>
        <w:ind w:left="283"/>
      </w:pPr>
      <w:r>
        <w:rPr>
          <w:rFonts w:ascii="Calibri" w:hAnsi="Calibri"/>
          <w:b/>
          <w:color w:val="4A6B25"/>
          <w:sz w:val="20"/>
        </w:rPr>
        <w:t xml:space="preserve">3. </w:t>
      </w:r>
      <w:r>
        <w:rPr>
          <w:rFonts w:ascii="Calibri" w:hAnsi="Calibri"/>
          <w:b w:val="0"/>
          <w:color w:val="3A4A28"/>
          <w:sz w:val="20"/>
        </w:rPr>
        <w:t>Any meaningful revenue generation from Credit AI, Web3 infrastructure, or new energy products would represent a material change from the current $73K annual run rate, but no evidence supports near-term commercial 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proceedings for failure to file annual report (20-F), interim financials, and $1.00 minimum bid price breach — compliance deadline of June 29, 2026 has passed, raising imminent delisting risk [3]</w:t>
      </w:r>
    </w:p>
    <w:p>
      <w:pPr>
        <w:spacing w:before="40" w:after="40"/>
        <w:ind w:left="283"/>
      </w:pPr>
      <w:r>
        <w:rPr>
          <w:rFonts w:ascii="Calibri" w:hAnsi="Calibri"/>
          <w:b/>
          <w:color w:val="4A6B25"/>
          <w:sz w:val="20"/>
        </w:rPr>
        <w:t xml:space="preserve">2. </w:t>
      </w:r>
      <w:r>
        <w:rPr>
          <w:rFonts w:ascii="Calibri" w:hAnsi="Calibri"/>
          <w:b w:val="0"/>
          <w:color w:val="3A4A28"/>
          <w:sz w:val="20"/>
        </w:rPr>
        <w:t>Market cap of ~$1.9M and daily dollar volume of ~$104,500 make the stock effectively uninvestable — any position represents a liquidity trap with no realistic exit at meaningful size</w:t>
      </w:r>
    </w:p>
    <w:p>
      <w:pPr>
        <w:spacing w:before="40" w:after="40"/>
        <w:ind w:left="283"/>
      </w:pPr>
      <w:r>
        <w:rPr>
          <w:rFonts w:ascii="Calibri" w:hAnsi="Calibri"/>
          <w:b/>
          <w:color w:val="4A6B25"/>
          <w:sz w:val="20"/>
        </w:rPr>
        <w:t xml:space="preserve">3. </w:t>
      </w:r>
      <w:r>
        <w:rPr>
          <w:rFonts w:ascii="Calibri" w:hAnsi="Calibri"/>
          <w:b w:val="0"/>
          <w:color w:val="3A4A28"/>
          <w:sz w:val="20"/>
        </w:rPr>
        <w:t>5 full-time employees and $72,641 annual revenue across 5+ business lines suggest the company lacks minimum viable scale in any market, with no clear path to commercial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IMTE's scattered business lines face varied but largely irrelevant AI exposure given the company's $72,641 revenue scale. The digital asset marketplace (Ouction) competes in a space where AI-powered trading platforms and automated market makers are rapidly advancing. The nano-coated filter and electronic glass manufacturing are physical-world operations with some AI protection, but at negligible revenue, the business lacks any competitive moat [1]. The halal certification business involves regulatory processes that AI document processing could streamline, reducing barriers to entry. No analyst coverage exists to provide AI disruption assessment. EXPOSED rating reflects fragmented micro-scale business with no competitive moats in any segment. AI Opportunity (0/1): No meaningful AI revenue despite the Credit AI launch through Greifenberg Digital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IMTE Financial Data — StockAnalysis.com, Yahoo Finance, and TipRanks,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Integrated Media Technology Corporate Website and Business Operations — Simply Wall St, Bitget,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 IMTE Delisting Determinations for 20-F filing failure (October 2025), interim financial failure (January 2026), and bid price compliance (June 2026 deadline)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