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INDO</w:t>
      </w:r>
      <w:r>
        <w:rPr>
          <w:rFonts w:ascii="Calibri" w:hAnsi="Calibri"/>
          <w:b/>
          <w:color w:val="1A2010"/>
          <w:sz w:val="40"/>
        </w:rPr>
        <w:t xml:space="preserve">  Indonesia Energy Corporation Limited</w:t>
      </w:r>
    </w:p>
    <w:p>
      <w:pPr>
        <w:spacing w:after="120"/>
      </w:pPr>
      <w:r>
        <w:rPr>
          <w:rFonts w:ascii="Calibri" w:hAnsi="Calibri"/>
          <w:b/>
          <w:color w:val="6E8450"/>
          <w:sz w:val="18"/>
        </w:rPr>
        <w:t>GROWTH SLEEVE · 2026-07-10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American · Indonesia</w:t>
      </w:r>
    </w:p>
    <w:p>
      <w:pPr>
        <w:spacing w:after="80"/>
      </w:pPr>
      <w:r>
        <w:rPr>
          <w:rFonts w:ascii="Calibri" w:hAnsi="Calibri"/>
          <w:b w:val="0"/>
          <w:color w:val="3A4A28"/>
          <w:sz w:val="20"/>
        </w:rPr>
        <w:t>Indonesia Energy Corporation Limited operates as an oil and gas exploration and production company in Indonesia. Principal assets include the Kruh Block, a producing block covering 258 square kilometers in Pali, South Sumatra, and the Citarum Block, an exploration block covering approximately 3,925 square kilometers in West Java. Currently produces approximately 580 net barrels of oil per day.</w:t>
      </w:r>
    </w:p>
    <w:p>
      <w:r>
        <w:rPr>
          <w:rFonts w:ascii="Calibri" w:hAnsi="Calibri"/>
          <w:b/>
          <w:color w:val="6E8450"/>
          <w:sz w:val="18"/>
        </w:rPr>
        <w:t>81 Employees · https://indo-energy.com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Indonesia Energy has not executed any meaningful product launches, market pivots, or business model transformations in the last 5 years. The company remains a micro-cap oil producer extracting approximately 580 barrels per day from the Kruh Block in South Sumatra, with no significant operational changes [1][2]. AI Deployment (0/2): No AI deployment or strategy evident. The company operates conventional oil wells in Indonesia with no technology differentiation. Market Share (0/2): Tiny participant in Indonesia's oil and gas sector with no market share leadership. Production of 580 barrels/day is negligible compared to Pertamina and international operators. Product Pipeline (1/2): The company has identified two new drilling sites from recent seismic work — the K-29 well commenced operations and WK-5 planned for drilling. The Citarum Block targets first drilling by year-end with partnerships sought for its $500M-$1B development potential [2]. R&amp;D Intensity (0/1): No R&amp;D spending; the company conducts standard exploration activities with no proprietary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Indonesia Energy describes itself as an 'integrated energy resources development company' focused on exploration and production in Indonesia. This is a generic industry descriptor that is interchangeable with any small oil and gas company and does not articulate a deeper purpose beyond resource extraction [2]. Community Impact (0/2): No evidence of charitable programs, foundation, or community investment initiatives found in public materials. Employee Retention (0/2): No retention data available for the 81-person workforce. CEO Wirawan Jusuf has been in place since 2019 (6.75 years), providing some leadership continuity [2]. Insider Buying (0/2): CEO Wirawan Jusuf directly owns only 0.3% of the company's shares worth $127K, a minimal stake that does not signal strong insider conviction in the long-term story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196,909 shares at a stock price of $2.76 yields daily dollar volume of approximately $543,000, which is below the $1,000,000 liquidity floor required by IOWN [1]. Infrastructure score is automatically set to 0 regardless of other metrics. For reference, the company generated only $2.01M in revenue in 2025 (down 24.6% YoY from $2.67M) with a net loss of $5.10M (-$0.35 EPS) [1]. The $42.5M market cap on $2M annual revenue implies extreme overvaluation relative to current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Indonesia Energy is a quintessential finite player — a micro-cap oil company focused entirely on near-term resource extraction with no articulated purpose beyond shareholder returns. The company has no Just Cause, no evidence of courageous leadership decisions, and no organizational culture data to evaluate. With 81 employees, $2M in annual revenue, and a survival-dependent business model, the company operates quarter-to-quarter with no visible long-term strategic vision.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Indonesia Energy exists to extract oil from Indonesian concessions and generate returns for shareholders. There is no articulated vision of a better future, no purpose beyond resource extraction, and no evidence that the company's existence serves a cause larger than profit. The 'integrated energy resources development' tagline is a business description, not a Just Cause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available on organizational culture, employee trust, or team dynamics. The company has only 81 employees operating in Indonesia with no Glassdoor reviews, no published cultural values, and no employee engagement data. The organization is too small and too data-sparse to assess on trust metrics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the company engaging with competitors' strengths or using competitive dynamics for self-improvement. As a micro-cap producer with negligible market share in Indonesia's oil sector, the company does not appear to engage in meaningful competitive discourse.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 evidence of strategic adaptation or business model evolution. Indonesia Energy has operated the same Kruh Block oil production since inception with no meaningful diversification or transformation. The Citarum Block exploration represents geographic expansion within the same business model, not strategic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long-term decisions. The company operates a 580-barrel/day production operation with declining revenue ($2.01M in 2025, down 24.6%) and ongoing losses [1]. Strategic decisions appear driven by survival needs — seeking partnerships for the capital-intensive Citarum Block development ($500M-$1B) rather than self-funding, and maintaining minimal staffing of 81 employees.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Indonesia Energy offers speculative upside through its exploration pipeline, particularly the Citarum Block — a 3,925 sq km exploration block in West Java with an estimated $500M-$1B development potential that could transform the company if gas reserves are confirmed and a development partner is secured [2]. The K-29 and WK-5 wells at the Kruh Block represent near-term production catalysts, and at $2.76 per share with a $42.5M market cap, the stock prices in minimal exploration success. Gold prices for energy commodities and Indonesian energy policy supporting domestic production provide a supportive macro backdrop [4].</w:t>
      </w:r>
    </w:p>
    <w:p>
      <w:pPr>
        <w:spacing w:after="120"/>
      </w:pPr>
      <w:r>
        <w:rPr>
          <w:rFonts w:ascii="Calibri" w:hAnsi="Calibri"/>
          <w:b w:val="0"/>
          <w:color w:val="3A4A28"/>
          <w:sz w:val="20"/>
        </w:rPr>
        <w:t>The fundamental picture is deeply challenged. Indonesia Energy generated only $2.01M in revenue in 2025 (down 24.6% from $2.67M) with a net loss of $5.10M, producing just 580 barrels/day from the Kruh Block [1]. The company fails the IOWN liquidity floor test with daily dollar volume of approximately $543K — well below the $1M minimum — making the stock effectively untradeable for any institutional investor. The Citarum Block development requires $500M-$1B in capital that the company cannot self-fund, creating existential dependency on finding a development partner. With 81 employees, $2M in revenue, and no visible path to profitability, this is a speculative exploration story with significant execution risk and near-zero financial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drilling results from K-29 and WK-5 wells at the Kruh Block potentially increasing production above the current 580 barrels/day level</w:t>
      </w:r>
    </w:p>
    <w:p>
      <w:pPr>
        <w:spacing w:before="40" w:after="40"/>
        <w:ind w:left="283"/>
      </w:pPr>
      <w:r>
        <w:rPr>
          <w:rFonts w:ascii="Calibri" w:hAnsi="Calibri"/>
          <w:b/>
          <w:color w:val="4A6B25"/>
          <w:sz w:val="20"/>
        </w:rPr>
        <w:t xml:space="preserve">2. </w:t>
      </w:r>
      <w:r>
        <w:rPr>
          <w:rFonts w:ascii="Calibri" w:hAnsi="Calibri"/>
          <w:b w:val="0"/>
          <w:color w:val="3A4A28"/>
          <w:sz w:val="20"/>
        </w:rPr>
        <w:t>Securing a strategic development partner for the Citarum Block gas project, validating the $500M-$1B resource potential and providing capital for first drilling</w:t>
      </w:r>
    </w:p>
    <w:p>
      <w:pPr>
        <w:spacing w:before="40" w:after="40"/>
        <w:ind w:left="283"/>
      </w:pPr>
      <w:r>
        <w:rPr>
          <w:rFonts w:ascii="Calibri" w:hAnsi="Calibri"/>
          <w:b/>
          <w:color w:val="4A6B25"/>
          <w:sz w:val="20"/>
        </w:rPr>
        <w:t xml:space="preserve">3. </w:t>
      </w:r>
      <w:r>
        <w:rPr>
          <w:rFonts w:ascii="Calibri" w:hAnsi="Calibri"/>
          <w:b w:val="0"/>
          <w:color w:val="3A4A28"/>
          <w:sz w:val="20"/>
        </w:rPr>
        <w:t>Rising oil prices or favorable Indonesian energy policy changes improving the economics of small-scale domestic production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$543K fails the IOWN liquidity floor, making the stock effectively untradeable for institutional investors and creating severe exit risk for any position</w:t>
      </w:r>
    </w:p>
    <w:p>
      <w:pPr>
        <w:spacing w:before="40" w:after="40"/>
        <w:ind w:left="283"/>
      </w:pPr>
      <w:r>
        <w:rPr>
          <w:rFonts w:ascii="Calibri" w:hAnsi="Calibri"/>
          <w:b/>
          <w:color w:val="4A6B25"/>
          <w:sz w:val="20"/>
        </w:rPr>
        <w:t xml:space="preserve">2. </w:t>
      </w:r>
      <w:r>
        <w:rPr>
          <w:rFonts w:ascii="Calibri" w:hAnsi="Calibri"/>
          <w:b w:val="0"/>
          <w:color w:val="3A4A28"/>
          <w:sz w:val="20"/>
        </w:rPr>
        <w:t>$2.01M annual revenue declining 24.6% YoY with $5.10M net loss indicates the company is burning cash faster than it generates revenue, with no clear path to profitability at current production levels</w:t>
      </w:r>
    </w:p>
    <w:p>
      <w:pPr>
        <w:spacing w:before="40" w:after="40"/>
        <w:ind w:left="283"/>
      </w:pPr>
      <w:r>
        <w:rPr>
          <w:rFonts w:ascii="Calibri" w:hAnsi="Calibri"/>
          <w:b/>
          <w:color w:val="4A6B25"/>
          <w:sz w:val="20"/>
        </w:rPr>
        <w:t xml:space="preserve">3. </w:t>
      </w:r>
      <w:r>
        <w:rPr>
          <w:rFonts w:ascii="Calibri" w:hAnsi="Calibri"/>
          <w:b w:val="0"/>
          <w:color w:val="3A4A28"/>
          <w:sz w:val="20"/>
        </w:rPr>
        <w:t>Citarum Block development requires $500M-$1B in external capital that the company cannot raise independently, creating existential dependency on a partner that has not yet materialized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exploration and production is a physical-world operation that AI structurally cannot displace. Drilling wells, extracting crude oil, managing production operations, and navigating Indonesian regulatory requirements all require physical infrastructure and on-the-ground expertise that no AI system can replicate [4]. AI may improve seismic interpretation and production optimization at larger operators, but for a micro-cap producer like Indonesia Energy with 580 barrels/day, AI is irrelevant to the business model. No analyst has flagged AI as a risk factor for small-cap E&amp;P companies. AI Opportunity (0/1): Indonesia Energy does not generate any AI-related revenue and has no AI products or services. The company operates conventional oil wells with no technology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INDO Key Statistics and Financial Data,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Indonesia Energy Corporation website — indo-energy.com,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CNBC — INDO Stock Quote and Financial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Mongabay — Oil Surge Sharpens Calls for Indonesia to Shift Away from Fossil Fuels,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