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INMD</w:t>
      </w:r>
      <w:r>
        <w:rPr>
          <w:rFonts w:ascii="Calibri" w:hAnsi="Calibri"/>
          <w:b/>
          <w:color w:val="1A2010"/>
          <w:sz w:val="40"/>
        </w:rPr>
        <w:t xml:space="preserve">  InMode Ltd.</w:t>
      </w:r>
    </w:p>
    <w:p>
      <w:pPr>
        <w:spacing w:after="120"/>
      </w:pPr>
      <w:r>
        <w:rPr>
          <w:rFonts w:ascii="Calibri" w:hAnsi="Calibri"/>
          <w:b/>
          <w:color w:val="6E8450"/>
          <w:sz w:val="18"/>
        </w:rPr>
        <w:t>GROWTH SLEEVE · 2026-08-07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Israel</w:t>
      </w:r>
    </w:p>
    <w:p>
      <w:pPr>
        <w:spacing w:after="80"/>
      </w:pPr>
      <w:r>
        <w:rPr>
          <w:rFonts w:ascii="Calibri" w:hAnsi="Calibri"/>
          <w:b w:val="0"/>
          <w:color w:val="3A4A28"/>
          <w:sz w:val="20"/>
        </w:rPr>
        <w:t>InMode designs, develops, manufactures, and markets minimally invasive and non-invasive aesthetic medical platforms based on proprietary radiofrequency (RF) technology. Products include BodyTite, FaceTite, Morpheus8, EmpowerRF, and hands-free solutions for body contouring, skin tightening, fat reduction, and women's health procedures, sold through direct sales and distributors globally.</w:t>
      </w:r>
    </w:p>
    <w:p>
      <w:r>
        <w:rPr>
          <w:rFonts w:ascii="Calibri" w:hAnsi="Calibri"/>
          <w:b/>
          <w:color w:val="6E8450"/>
          <w:sz w:val="18"/>
        </w:rPr>
        <w:t>660 Employees · https://www.inmodemd.com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InMode's Q2 2026 revenue of $95.6M was essentially flat YoY and management cited a shifting mix toward lower-margin laser platforms and a restructured North American sales force rather than a new transformative product cycle [1]. AI Deployment (0/2): No evidence of AI-powered products shipping or quantified AI-driven savings; the technology remains RF-based [2]. Market Share (2/2): InMode remains the category leader in RF-based minimally invasive aesthetics with proprietary RFAL technology that competitors have not replicated [1]. Pipeline (1/2): The consumables strategy continues to provide some visibility, but no specific next-generation platform with a named launch timeline surfaced in current disclosures [1]. R&amp;D Intensity (1/1): InMode continues to maintain R&amp;D investment relative to its ~$375M revenue base under CTO Dr. Michael Kreindel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InMode's mission centers on providing innovative, clinically effective, minimally invasive aesthetic solutions — clear and relevant to physicians and patients but not deeply differentiated beyond med-tech industry standard [2]. Community Impact (0/2): No evidence of significant charitable programs or community investment with specific dollar amounts. Employee Retention (0/2): Glassdoor sentiment has deteriorated — only 37% of employees recommend InMode to a friend, with work-life balance rated 2.3/5 and culture 2.7/5, alongside reviews citing 'culture of fear-based leadership,' micromanagement, and nepotism [2]. Insider Buying (1/2): The controlling shareholder group, via affiliate M.N. Business Strategy Ltd., proposed acquiring all outstanding shares not already owned by the group in mid-2026 — a form of insider conviction to add exposure — but the proposal is under a governance challenge from a Steel Partners affiliate disputing board independence, muddying the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InMode's balance sheet remains exceptionally clean — D/E of roughly 1% reflects near-zero debt against a large cash position, and profit margin of 20.7% with non-GAAP gross margin guidance of 74-76% for FY2026 demonstrate continued pricing power [1][3]. Forward P/E of 11.5x is attractive for a profitable med-tech company, though ROE of 12.3% remains below the 15% target and revenue growth is anemic — Q1 2026 revenue grew 5.3% YoY to $82.0M but Q2 2026 revenue of $95.6M was flat YoY, with FY2026 guidance reaffirmed at $365-375M [1][3]. The 5-year revenue trend remains negative given the decline from the 2023 peak of ~$492M. Liquidity floor easily cleared: 570K avg volume x $15.12 = ~$8.6M daily turnover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InMode's infinite-game profile has weakened since the prior screen. The controlling shareholder's take-private proposal, an active governance dispute over board independence, and a further-deteriorated Glassdoor culture score (37% recommend, 2.3/5 work-life balance) point toward a company in defensive, ownership-transition mode rather than one building enduring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InMode's cause — advancing minimally invasive aesthetic medicine through proprietary RF technology — is genuine but narrowly defined, serving physicians and patients seeking alternatives to surgical procedures. The current governance dispute over a going-private proposal suggests strategic focus has shifted toward ownership structure rather than mission execution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have worsened, with only 37% of employees recommending InMode to a friend and work-life balance rated 2.3/5; reviews continue to cite 'culture of fear-based leadership,' micromanagement, and nepotism, indicating a persistently low-trust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InMode continues to acknowledge competitors in the aesthetic device space (Cynosure/Hologic, Cutera) and frames its consumables and international expansion strategy as differentiation on clinical outcomes rather than a battle to destroy specific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InMode continues to lean on its multi-platform lineup (BodyTite, Morpheus8, EmpowerRF) and a growing, though margin-diluting, mix shift toward lower-margin laser platforms — an incremental product-line adaptation rather than a transformative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restructured the North American sales force and sustained R&amp;D investment through a multi-year revenue plateau rather than aggressively cutting costs to protect near-term margins, though the ongoing take-private proposal and governance fight raise questions about whose long-term interests are being prioritized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InMode remains a highly profitable, debt-free medical device company trading at a low 11.5x forward P/E with a 20.7% profit margin and 74-76% non-GAAP gross margin guidance for FY2026 [1][3]. Q1 2026 revenue grew 5.3% YoY to $82.0M, and management reaffirmed full-year guidance of $365-375M, suggesting the business has stabilized after the 2023-2025 revenue decline. A controlling-shareholder proposal to acquire all outstanding shares not already owned by the group (via M.N. Business Strategy Ltd.) signals that insiders see undervalued equity at current prices, potentially setting a floor under the stock [4].</w:t>
      </w:r>
    </w:p>
    <w:p>
      <w:pPr>
        <w:spacing w:after="120"/>
      </w:pPr>
      <w:r>
        <w:rPr>
          <w:rFonts w:ascii="Calibri" w:hAnsi="Calibri"/>
          <w:b w:val="0"/>
          <w:color w:val="3A4A28"/>
          <w:sz w:val="20"/>
        </w:rPr>
        <w:t>The bear case has intensified. Q2 2026 revenue of $95.6M was flat YoY, and margins compressed as the mix shifted toward lower-margin laser platforms, with management itself flagging cost increases and restructuring charges [1]. The take-private proposal is now the subject of an active governance dispute — a Steel Partners affiliate filed an urgent court challenge in Israel in July 2026 disputing the independence of InMode's directors and seeking to halt the special committee's review, creating both overhang and uncertainty about the company's ownership path [4]. Glassdoor sentiment has deteriorated further (only 37% recommend, 2.3/5 work-life balance), and GLP-1 drug adoption remains a structural demand risk for U.S. body-contouring procedures, InMode's historical core use case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M.N. Business Strategy Ltd. take-private proposal — a positive outcome could deliver a premium to current shareholders, while a blocked deal removes overhang either way [4]</w:t>
      </w:r>
    </w:p>
    <w:p>
      <w:pPr>
        <w:spacing w:before="40" w:after="40"/>
        <w:ind w:left="283"/>
      </w:pPr>
      <w:r>
        <w:rPr>
          <w:rFonts w:ascii="Calibri" w:hAnsi="Calibri"/>
          <w:b/>
          <w:color w:val="4A6B25"/>
          <w:sz w:val="20"/>
        </w:rPr>
        <w:t xml:space="preserve">2. </w:t>
      </w:r>
      <w:r>
        <w:rPr>
          <w:rFonts w:ascii="Calibri" w:hAnsi="Calibri"/>
          <w:b w:val="0"/>
          <w:color w:val="3A4A28"/>
          <w:sz w:val="20"/>
        </w:rPr>
        <w:t>FY2026 guidance reaffirmed at $365-375M with 74-76% non-GAAP gross margin, suggesting the two-year revenue decline has bottomed [1]</w:t>
      </w:r>
    </w:p>
    <w:p>
      <w:pPr>
        <w:spacing w:before="40" w:after="40"/>
        <w:ind w:left="283"/>
      </w:pPr>
      <w:r>
        <w:rPr>
          <w:rFonts w:ascii="Calibri" w:hAnsi="Calibri"/>
          <w:b/>
          <w:color w:val="4A6B25"/>
          <w:sz w:val="20"/>
        </w:rPr>
        <w:t xml:space="preserve">3. </w:t>
      </w:r>
      <w:r>
        <w:rPr>
          <w:rFonts w:ascii="Calibri" w:hAnsi="Calibri"/>
          <w:b w:val="0"/>
          <w:color w:val="3A4A28"/>
          <w:sz w:val="20"/>
        </w:rPr>
        <w:t>International sales continuing to offset domestic softness, providing geographic diversification against U.S. GLP-1-related demand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governance litigation in Israel over board independence in the take-private review creates legal and timeline uncertainty for shareholders [4]</w:t>
      </w:r>
    </w:p>
    <w:p>
      <w:pPr>
        <w:spacing w:before="40" w:after="40"/>
        <w:ind w:left="283"/>
      </w:pPr>
      <w:r>
        <w:rPr>
          <w:rFonts w:ascii="Calibri" w:hAnsi="Calibri"/>
          <w:b/>
          <w:color w:val="4A6B25"/>
          <w:sz w:val="20"/>
        </w:rPr>
        <w:t xml:space="preserve">2. </w:t>
      </w:r>
      <w:r>
        <w:rPr>
          <w:rFonts w:ascii="Calibri" w:hAnsi="Calibri"/>
          <w:b w:val="0"/>
          <w:color w:val="3A4A28"/>
          <w:sz w:val="20"/>
        </w:rPr>
        <w:t>Q2 2026 revenue flat YoY with margin compression from a mix shift to lower-margin laser platforms signals limited near-term organic growth [1]</w:t>
      </w:r>
    </w:p>
    <w:p>
      <w:pPr>
        <w:spacing w:before="40" w:after="40"/>
        <w:ind w:left="283"/>
      </w:pPr>
      <w:r>
        <w:rPr>
          <w:rFonts w:ascii="Calibri" w:hAnsi="Calibri"/>
          <w:b/>
          <w:color w:val="4A6B25"/>
          <w:sz w:val="20"/>
        </w:rPr>
        <w:t xml:space="preserve">3. </w:t>
      </w:r>
      <w:r>
        <w:rPr>
          <w:rFonts w:ascii="Calibri" w:hAnsi="Calibri"/>
          <w:b w:val="0"/>
          <w:color w:val="3A4A28"/>
          <w:sz w:val="20"/>
        </w:rPr>
        <w:t>GLP-1 weight-loss drug adoption continues to pressure demand for body contouring procedures, InMode's core U.S. use case, while deteriorating Glassdoor sentiment (37% recommend) raises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InMode's core business involves physical medical devices delivering radiofrequency energy for aesthetic procedures — AI cannot substitute for the physical hardware, physician training, or in-person patient procedures that drive revenue, and the proprietary RFAL/deep subdermal fractional RF technology is protected by patents and FDA clearances [1]. However, AI-driven diagnostic and treatment-planning tools from competitors could shift physician preferences over time, and GLP-1 weight-loss drug adoption remains an indirect demand risk for body contouring procedures, though this is a pharma substitution risk rather than an AI one. AI Opportunity (1/1): InMode's connected platforms generate procedural data with potential for AI-driven treatment protocols, though no specific AI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InMode Q2 2026 Earnings Release and Guidance — prnewswire.com,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InMode financials and key statistics,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InMode Q1 2026 Earnings Call Transcript — The Motley Fool, May 2026</w:t>
      </w:r>
    </w:p>
    <w:p>
      <w:pPr>
        <w:spacing w:before="20" w:after="20"/>
        <w:ind w:left="170"/>
      </w:pPr>
      <w:r>
        <w:rPr>
          <w:rFonts w:ascii="Calibri" w:hAnsi="Calibri"/>
          <w:b/>
          <w:color w:val="4A6B25"/>
          <w:sz w:val="15"/>
        </w:rPr>
        <w:t xml:space="preserve">4. </w:t>
      </w:r>
      <w:r>
        <w:rPr>
          <w:rFonts w:ascii="Calibri" w:hAnsi="Calibri"/>
          <w:b w:val="0"/>
          <w:color w:val="3A4A28"/>
          <w:sz w:val="17"/>
        </w:rPr>
        <w:t>TipRanks / StockTitan — InMode Governance Challenge and Takeover Review (Steel Partners affiliate court filing),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InMode Employee Reviews,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