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INN</w:t>
      </w:r>
      <w:r>
        <w:rPr>
          <w:rFonts w:ascii="Calibri" w:hAnsi="Calibri"/>
          <w:b/>
          <w:color w:val="1A2010"/>
          <w:sz w:val="40"/>
        </w:rPr>
        <w:t xml:space="preserve">  Summit Hotel Properties, Inc.</w:t>
      </w:r>
    </w:p>
    <w:p>
      <w:pPr>
        <w:spacing w:after="120"/>
      </w:pPr>
      <w:r>
        <w:rPr>
          <w:rFonts w:ascii="Calibri" w:hAnsi="Calibri"/>
          <w:b/>
          <w:color w:val="6E8450"/>
          <w:sz w:val="18"/>
        </w:rPr>
        <w:t>GROWTH SLEEVE · 2026-07-27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Summit Hotel Properties, Inc. is a publicly traded real estate investment trust that invests in premium-branded, select-service hotels primarily in the upscale and upper-midscale segments. The portfolio includes approximately 100 hotels across the United States operating under brands such as Marriott, Hilton, IHG, and Hyatt. The company employs a third-party management model with a small corporate team focused on acquisitions, dispositions, capital allocation, and asset management. Headquartered in Austin, Texas.</w:t>
      </w:r>
    </w:p>
    <w:p>
      <w:r>
        <w:rPr>
          <w:rFonts w:ascii="Calibri" w:hAnsi="Calibri"/>
          <w:b/>
          <w:color w:val="6E8450"/>
          <w:sz w:val="18"/>
        </w:rPr>
        <w:t>85 Employees · https://www.shpreit.com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Summit Hotel has strategically repositioned its portfolio toward premium-branded select-service hotels, disposing of lower-quality assets and acquiring properties in high-growth markets — a modest but deliberate portfolio evolution over five years [1]. AI Deployment (0/2): No evidence of AI-powered products or AI-driven cost savings was identified; hospitality AI adoption at the property level is managed by third-party operators, not Summit's corporate team. Market Share (0/2): Summit operates approximately 100 hotels in a fragmented market with thousands of hotel REITs and operators; it holds no category leadership or meaningful market share differentiation relative to Apple Hospitality, Chatham Lodging, or Pebblebrook. Product Pipeline (0/2): No next-generation products or transformative pipeline projects were identified; growth is limited to portfolio repositioning through acquisitions and dispositions. R&amp;D Intensity (0/1): REITs do not invest in R&amp;D; property improvements and renovations are standard capital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Summit Hotel Properties' stated purpose centers on 'creating long-term shareholder value through sustainable hotel operations, employee well-being, and community engagement' [3] — a generic corporate objective indistinguishable from any hotel REIT. The mission describes what the company does, not why it exists. Community Impact (1/2): Summit published its 2025 Corporate Responsibility Report demonstrating commitment to green building initiatives, operational carbon footprint reduction, and employee support programs [3]. The report covers environmental stewardship, social responsibility, and governance — adequate but not distinctive relative to REIT peers. Employee Retention (0/2): With approximately 85 corporate employees in a REIT structure where hotel staff are employed by third-party management companies, meaningful retention data is limited. No specific turnover or tenure data was identified.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excluded due to unavailability. Summit Hotel's GAAP financial metrics are structurally distorted by REIT accounting — heavy depreciation produces a negative net profit margin of -1.48% and negative ROE of -1.39% that do not reflect the underlying cash-generating capacity of the hotel portfolio [2]. Adjusted FFO guidance of $0.75-$0.85 per share implies a P/FFO of approximately 8.5x on the $7.02 stock price, which is attractively valued for a hotel REIT [1]. Q1 2026 revenue of $185.1M was essentially flat YoY, with RevPAR growth accelerating through the quarter [1]. D/E of 114% is moderate for a REIT with $2.2B enterprise value against $826M market cap [2]. The five-year revenue CAGR of approximately 17.9% is heavily inflated by the 2020 COVID trough when hotel occupancy collapsed; underlying revenue has been flat at approximately $730M since 2022. Dividend yield of 4.56% provides income, but consecutive years paid of 3 since COVID resumption in 2022 limits the track record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Summit Hotel Properties operates as a financially-oriented REIT focused on portfolio optimization, dividend distribution, and shareholder returns without an articulated Just Cause or transformative vision beyond efficient hotel asset management. The company's strategic decisions — acquisitions, dispositions, capital allocation — are driven by FFO maximization rather than a larger purpose. The corporate responsibility report shows awareness of ESG expectations but no deep organizational mission. Sinek would identify this as a company playing the finite game of quarterly FFO targets.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Summit Hotel Properties has no articulated Just Cause beyond creating shareholder value through hotel asset management. The purpose statement focuses on financial returns, not a vision of a better future [3]. Strategic decisions are driven by capitalization rates, RevPAR projections, and FFO optimization — purely financial metrics. There is no evidence of a higher purpose guiding the organization's direction or inspiring employees beyond compensation.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Summit's 2025 Corporate Responsibility Report emphasizes employee well-being and support programs, and the small 85-person corporate team benefits from direct leadership access [3]. Institutional investors representing 65% of outstanding shares and active ESG engagement suggest board-level governance discipline. However, the CFO departure and CEO role assumption indicate potential leadership friction, and the third-party management model means Summit has limited influence over the trust environment at the property level where thousands of hotel employees actually 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Summit's management referencing competitors' strengths as motivation for self-improvement was identified. The competitive landscape of hotel REITs is discussed in terms of market positioning and capitalization rates rather than learning from rivals like Apple Hospitality or Pebblebrook Hotel Trust.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Summit has adapted its portfolio strategy through multiple cycles — shifting from mid-scale to premium brands, disposing of non-core assets, and repositioning toward high-growth markets [1]. The company navigated the COVID crisis by preserving its portfolio through the worst hotel downturn in history and resuming growth operations. However, the core REIT model — own hotels, collect rent, distribute to shareholders — has not fundamentally changed, and these adaptations are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Summit navigated the COVID-19 devastation of the hotel industry by maintaining its portfolio, resuming dividends in 2022, and strategically repositioning assets toward premium brands in recovery markets [1]. Management raised 2026 RevPAR growth guidance, showing confidence in the recovery trajectory. However, the CFO resignation requiring the CEO to assume the role signals organizational instability at a critical juncture, and capital allocation decisions reflect standard REIT management rather than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Summit Hotel Properties offers income-oriented value with a 4.56% dividend yield, P/FFO of approximately 8.5x on adjusted FFO guidance of $0.75-$0.85 per share, and a portfolio of approximately 100 premium-branded select-service hotels under Marriott, Hilton, IHG, and Hyatt flags [1][2]. Q1 2026 revenue of $185.1M beat estimates by 2.79%, and management raised the low end of full-year guidance with pro forma RevPAR growth of 0.5-3.0% and adjusted EBITDAre of $170-181M [1]. The stock trades at 0.88x book value, implying the market is pricing the portfolio below replacement cost. RevPAR growth accelerated through Q1 with March particularly strong, suggesting improving demand fundamentals. The premium-branded select-service segment benefits from lower operating costs than full-service hotels while capturing business and leisure demand from Marriott/Hilton loyalty programs.</w:t>
      </w:r>
    </w:p>
    <w:p>
      <w:pPr>
        <w:spacing w:after="120"/>
      </w:pPr>
      <w:r>
        <w:rPr>
          <w:rFonts w:ascii="Calibri" w:hAnsi="Calibri"/>
          <w:b w:val="0"/>
          <w:color w:val="3A4A28"/>
          <w:sz w:val="20"/>
        </w:rPr>
        <w:t>Summit faces headwinds from stagnant revenue growth — revenue has been flat at approximately $730M since 2022, with the five-year CAGR of 17.9% entirely attributable to COVID recovery rather than organic growth [2]. GAAP metrics show a net loss of $10.4M in Q1 2026 ($0.10/share), widening from $4.7M a year earlier, with a $3.6M asset write-down pressuring profitability [1]. The REIT's reliance on third-party management limits control over operational execution, and the CFO resignation requiring CEO assumption of that role suggests organizational instability. The Altman Z-Score of 0.34 raises bankruptcy risk concerns despite the REIT's asset-backed nature [2]. New hotel supply in key markets could compress RevPAR gains, and a macroeconomic slowdown would disproportionately impact the select-service segment where business travel demand is most cyclical. The $0.32 annual dividend provides income but has only been restored for 3 years since the COVID suspension.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RevPAR growth accelerating toward the 3% high end of 2026 guidance, driven by improving business travel demand and limited new hotel supply in Summit's premium-branded select-service markets</w:t>
      </w:r>
    </w:p>
    <w:p>
      <w:pPr>
        <w:spacing w:before="40" w:after="40"/>
        <w:ind w:left="283"/>
      </w:pPr>
      <w:r>
        <w:rPr>
          <w:rFonts w:ascii="Calibri" w:hAnsi="Calibri"/>
          <w:b/>
          <w:color w:val="4A6B25"/>
          <w:sz w:val="20"/>
        </w:rPr>
        <w:t xml:space="preserve">2. </w:t>
      </w:r>
      <w:r>
        <w:rPr>
          <w:rFonts w:ascii="Calibri" w:hAnsi="Calibri"/>
          <w:b w:val="0"/>
          <w:color w:val="3A4A28"/>
          <w:sz w:val="20"/>
        </w:rPr>
        <w:t>Strategic asset dispositions at above-book-value prices, validating the portfolio's replacement value and providing capital for debt reduction or accretive reinvestment</w:t>
      </w:r>
    </w:p>
    <w:p>
      <w:pPr>
        <w:spacing w:before="40" w:after="40"/>
        <w:ind w:left="283"/>
      </w:pPr>
      <w:r>
        <w:rPr>
          <w:rFonts w:ascii="Calibri" w:hAnsi="Calibri"/>
          <w:b/>
          <w:color w:val="4A6B25"/>
          <w:sz w:val="20"/>
        </w:rPr>
        <w:t xml:space="preserve">3. </w:t>
      </w:r>
      <w:r>
        <w:rPr>
          <w:rFonts w:ascii="Calibri" w:hAnsi="Calibri"/>
          <w:b w:val="0"/>
          <w:color w:val="3A4A28"/>
          <w:sz w:val="20"/>
        </w:rPr>
        <w:t>Dividend growth resumption beyond the current $0.32 annual rate, rebuilding the income-investor value proposition and potentially requalifying for dividend-focused investment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continuing beyond 2026 as new hotel supply enters Summit's markets, compressing RevPAR and preventing the organic growth needed to cover debt service and dividend obligations</w:t>
      </w:r>
    </w:p>
    <w:p>
      <w:pPr>
        <w:spacing w:before="40" w:after="40"/>
        <w:ind w:left="283"/>
      </w:pPr>
      <w:r>
        <w:rPr>
          <w:rFonts w:ascii="Calibri" w:hAnsi="Calibri"/>
          <w:b/>
          <w:color w:val="4A6B25"/>
          <w:sz w:val="20"/>
        </w:rPr>
        <w:t xml:space="preserve">2. </w:t>
      </w:r>
      <w:r>
        <w:rPr>
          <w:rFonts w:ascii="Calibri" w:hAnsi="Calibri"/>
          <w:b w:val="0"/>
          <w:color w:val="3A4A28"/>
          <w:sz w:val="20"/>
        </w:rPr>
        <w:t>CFO vacancy and CEO dual-role burden creating management bandwidth constraints during a period requiring active portfolio repositioning and operational improvement</w:t>
      </w:r>
    </w:p>
    <w:p>
      <w:pPr>
        <w:spacing w:before="40" w:after="40"/>
        <w:ind w:left="283"/>
      </w:pPr>
      <w:r>
        <w:rPr>
          <w:rFonts w:ascii="Calibri" w:hAnsi="Calibri"/>
          <w:b/>
          <w:color w:val="4A6B25"/>
          <w:sz w:val="20"/>
        </w:rPr>
        <w:t xml:space="preserve">3. </w:t>
      </w:r>
      <w:r>
        <w:rPr>
          <w:rFonts w:ascii="Calibri" w:hAnsi="Calibri"/>
          <w:b w:val="0"/>
          <w:color w:val="3A4A28"/>
          <w:sz w:val="20"/>
        </w:rPr>
        <w:t>Altman Z-Score of 0.34 and $2.2B enterprise value against $826M equity raising questions about balance sheet sustainability if a macroeconomic downturn reduces hotel occupancy below breakeven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Hotel real estate is a physical-world asset class that AI structurally cannot displace — guests require actual rooms, physical amenities, and in-person hospitality that no technology can substitute [1]. Summit's portfolio of approximately 100 premium-branded hotels under Marriott, Hilton, IHG, and Hyatt flags benefits from brand distribution systems with deeply embedded booking infrastructure. While AI may marginally impact back-office operations, revenue management, and guest personalization at the property level, these are efficiency gains managed by third-party operators, not existential threats. AI-driven demand for business travel (conferences, client meetings) and data center construction activity near Summit's markets could actually increase hotel demand. AI Opportunity (0/1): Summit does not generate revenue from AI products or services; any AI implementation occurs at the property management level by third-party operators, not by Summit's corporate REIT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Summit Hotel Properties Q1 2026 Earnings Release and Investor Presentation,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INN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Summit Hotel Properties 2025 Corporate Responsibility Report, November 2025</w:t>
      </w:r>
    </w:p>
    <w:p>
      <w:pPr>
        <w:spacing w:before="20" w:after="20"/>
        <w:ind w:left="170"/>
      </w:pPr>
      <w:r>
        <w:rPr>
          <w:rFonts w:ascii="Calibri" w:hAnsi="Calibri"/>
          <w:b/>
          <w:color w:val="4A6B25"/>
          <w:sz w:val="15"/>
        </w:rPr>
        <w:t xml:space="preserve">4. </w:t>
      </w:r>
      <w:r>
        <w:rPr>
          <w:rFonts w:ascii="Calibri" w:hAnsi="Calibri"/>
          <w:b w:val="0"/>
          <w:color w:val="3A4A28"/>
          <w:sz w:val="17"/>
        </w:rPr>
        <w:t>Summit Hotel Properties Investor Relations — shpreit.com,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INN Key Statistics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