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INTC</w:t>
      </w:r>
      <w:r>
        <w:rPr>
          <w:rFonts w:ascii="Calibri" w:hAnsi="Calibri"/>
          <w:b/>
          <w:color w:val="1A2010"/>
          <w:sz w:val="40"/>
        </w:rPr>
        <w:t xml:space="preserve">  Intel Corporation</w:t>
      </w:r>
    </w:p>
    <w:p>
      <w:pPr>
        <w:spacing w:after="120"/>
      </w:pPr>
      <w:r>
        <w:rPr>
          <w:rFonts w:ascii="Calibri" w:hAnsi="Calibri"/>
          <w:b/>
          <w:color w:val="6E8450"/>
          <w:sz w:val="18"/>
        </w:rPr>
        <w:t>GROWTH SLEEVE · 2026-08-15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Intel Corporation designs, manufactures, and sells computing and semiconductor products including CPUs, GPUs, and foundry services. Under CEO Lip-Bu Tan, Intel posted Q2 2026 revenue of $16.1B (+25% YoY, the fastest growth in over 15 years), with 18A process output tracking ~25% above internal targets and Panther Lake entering high-volume manufacturing. Intel Foundry revenue grew 31% YoY to $5.8B, though the external foundry business remains loss-making, and Data Center AI (DCAI) revenue rose 59% YoY to $6.3B.</w:t>
      </w:r>
    </w:p>
    <w:p>
      <w:r>
        <w:rPr>
          <w:rFonts w:ascii="Calibri" w:hAnsi="Calibri"/>
          <w:b/>
          <w:color w:val="6E8450"/>
          <w:sz w:val="18"/>
        </w:rPr>
        <w:t>85,100 Employees · https://www.intel.com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15 months of Lip-Bu Tan's leadership, Intel executed a genuine operational turnaround — flattening management layers, cutting 34% of the global workforce to refocus around engineering, and delivering its strongest revenue growth in over 15 years (+25.4% YoY to $16.1B) — but the external foundry business is still losing $2.1B per quarter, so the pivot to a viable foundry-as-a-service model is not yet fully proven [1][2]. AI Deployment (2/2): Data Center AI revenue grew 59% YoY to $6.3B, and Intel restructured its Client Computing business into a Client Computing and Physical AI Group targeting edge AI and robotics — concrete, quantified AI-driven results [1][2]. Market Share (1/2): Intel is a meaningful but not leading player — 18A yields are tracking ~25% above target and Panther Lake has entered high-volume manufacturing, but Intel still trails TSMC at the leading edge and continues to cede AI-training silicon share to Nvidia and AMD [1]. Product Pipeline (2/2): Specific next-generation products with named timelines are public — Panther Lake (Core Ultra Series 3) in HVM using ASML's High-NA EUV, Wildcat Lake ramping, and a stated 18A/14A roadmap [1]. R&amp;D Intensity (1/1): Even after the workforce reduction, Intel's R&amp;D spend remains among the highest as a percentage of revenue in the semiconductor industry, reflecting the capital intensity of chasing leading-edge process nodes.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Intel's historical mission around 'world-changing technology' was generic, but Tan's explicit refocus — putting engineering back at the center, having every major engineering department report directly to him, and building an 'engineering-centric, customer-focused culture grounded in performance' — gives the current mission more specificity and leadership conviction than the boilerplate version it replaced, though it is too recent to call transformative and validated [2]. Community Impact (1/2): Intel maintains standard STEM and community programs, but the company quietly dropped tying executive bonuses to emissions and eliminated a supplier emissions target, a retreat that sustainability analysts flagged as weakening its ESG narrative [3]. Employee Retention (0/2): Tan cut 34% of the global workforce in 2025 to flatten the organization — a scale of disruption that, even if strategically necessary, represents a high-turnover environment rather than evidence of retention strength [2]. Insider Buying (2/2): Lip-Bu Tan has personally purchased Intel shares since taking over as CEO, a direct financial signal of confidence in the turnaround that stands out relative to typical executive equity activity at large-cap tech peers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Intel's turnaround shows up clearly in growth metrics: revenue grew 25.42% YoY, comfortably clearing the 10% target, and D/E of 49% and Forward PEG of 0.89 both beat their targets (70% and 1.0x respectively) [1][4]. However, profitability metrics still reflect the pre-turnaround balance sheet — ROE of -10.72% and profit margin of -19.79% both hit their zero floors, the 5-year revenue CAGR is approximately -9.6% (FY2021 $79.0B to FY2025 $52.9B, reflecting the multi-year decline Tan inherited), and Forward P/E of 61.69x sits just above the 60x floor, also scoring zero. The stock clears the liquidity floor easily at ~$12.2B in daily dollar volume (118.7M shares/day at $102.50).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Intel under Lip-Bu Tan reads as a company mid-transformation from finite crisis management toward infinite-game thinking — a genuine engineering-first cultural reset, personal insider stock purchases signaling conviction, and continued 18A/foundry investment despite years of losses are real evidence of long-horizon leadership. But the scale of disruption required to get here (34% workforce reduction) and the fact this cultural shift is only 15 months old mean Intel has not yet demonstrated the multi-cycle consistency Sinek requires for a top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Tan has reoriented Intel around a genuine cause — restoring U.S. semiconductor manufacturing leadership and putting engineering excellence back at the center of the company — that connects to something larger than quarterly earnings and is explicitly referenced in his public commentary [2]. It is not yet a 3, because this is a one-CEO-tenure reorientation (15 months) that has not been tested across a full industry cycle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34% workforce reduction in 2025, even executed with strategic intent, is objectively a low-trust-environment signal in the near term — Intel has not yet had time to rebuild the organizational stability and psychological safety Sinek's framework requires, regardless of the long-term merits of the restructuring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Tan has been publicly candid about Intel trailing TSMC at the leading edge and has pursued partnership (Google Cloud) rather than purely adversarial competitive framing, describing Intel's task as catching up and learning rather than claiming market dominance it does not currently hold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Intel is attempting one of the more dramatic self-reinventions in large-cap tech — shifting from a pure IDM model to an open foundry-services business courting external customers, restructuring its PC group into a Client Computing and Physical AI Group targeting edge AI and robotics, and partnering with Google Cloud on AI workloads — a transformative bet on an entirely different business model than the one that built the company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Tan cut 34% of the global workforce and flattened management layers — a painful, immediate decision — specifically to redirect resources and authority toward engineering and 18A execution rather than protecting organizational comfort [2]. Personally buying Intel shares while the turnaround was still unproven, and continuing to fund 18A and foundry buildout despite the external foundry segment losing $2.1B in a single quarter, are further evidence of a pattern of costly, long-horizon bets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Intel's turnaround under CEO Lip-Bu Tan is gaining real, measurable traction: Q2 2026 revenue of $16.1B grew 25.4% YoY — the fastest growth rate in more than 15 years — with non-GAAP gross margin up 12.1 points to 41.8% and non-GAAP operating margin swinging from -3.9% to +17.2% [1]. Intel 18A is executing ahead of plan, with output ~25% above internal targets and Panther Lake now in high-volume manufacturing on ASML's High-NA EUV tools, while DCAI revenue grew 59% YoY to $6.3B, evidence that Intel is capturing real AI-cycle demand rather than being left behind [1][2]. Tan's operational discipline — flattening the org chart, cutting 34% of headcount, and putting engineering departments directly under his oversight — has translated into six consecutive quarters of revenue beats, and his personal share purchases signal genuine conviction in the plan [2].</w:t>
      </w:r>
    </w:p>
    <w:p>
      <w:pPr>
        <w:spacing w:after="120"/>
      </w:pPr>
      <w:r>
        <w:rPr>
          <w:rFonts w:ascii="Calibri" w:hAnsi="Calibri"/>
          <w:b w:val="0"/>
          <w:color w:val="3A4A28"/>
          <w:sz w:val="20"/>
        </w:rPr>
        <w:t>The bear case is that Intel remains a profitability story still in progress, not yet delivered. ROE of -10.72% and profit margin of -19.79% both sit at their scoring floors, the 5-year revenue CAGR is roughly -9.6% reflecting the deep decline Tan inherited, and Forward P/E of 61.69x is elevated for a company that is not yet consistently profitable on a GAAP basis [4]. Intel Foundry's external customer revenue was just $293M against a $2.1B quarterly loss in that segment — the make-or-break bet that Intel can win outside customers at the leading edge against TSMC is still unproven [1]. The 34% workforce reduction, while strategically defensible, has created real near-term organizational strain, and Intel continues to cede AI-training silicon share to Nvidia and AMD even as it grows DCAI revenue from a small base. The Inspire Impact Score of -67 (MISALIGNED) will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18A process output tracking ~25% above internal targets with Panther Lake now in high-volume manufacturing — if yields continue improving, Intel Foundry could begin closing the external-customer credibility gap with TSMC, unlocking the foundry segment's path to breakeven [1]</w:t>
      </w:r>
    </w:p>
    <w:p>
      <w:pPr>
        <w:spacing w:before="40" w:after="40"/>
        <w:ind w:left="283"/>
      </w:pPr>
      <w:r>
        <w:rPr>
          <w:rFonts w:ascii="Calibri" w:hAnsi="Calibri"/>
          <w:b/>
          <w:color w:val="4A6B25"/>
          <w:sz w:val="20"/>
        </w:rPr>
        <w:t xml:space="preserve">2. </w:t>
      </w:r>
      <w:r>
        <w:rPr>
          <w:rFonts w:ascii="Calibri" w:hAnsi="Calibri"/>
          <w:b w:val="0"/>
          <w:color w:val="3A4A28"/>
          <w:sz w:val="20"/>
        </w:rPr>
        <w:t>DCAI revenue growth of 59% YoY to $6.3B alongside the new Google Cloud AI partnership shows Intel capturing incremental AI-cycle demand beyond its legacy PC/server CPU base, a trend that could accelerate as Panther Lake and Clearwater Forest ramp [1][2]</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against Tan's flattened, engineering-first organizational structure — six consecutive quarters of revenue beats under his tenure — provides a credible near-term catalyst path toward sustained GAAP profitability if the current growth rate holds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Intel Foundry's external customer revenue remains small ($293M) while the segment lost $2.1B in Q2 2026 alone — if Intel cannot win marquee external foundry customers at 18A/14A, the capital-intensive turnaround thesis weakens materially [1]</w:t>
      </w:r>
    </w:p>
    <w:p>
      <w:pPr>
        <w:spacing w:before="40" w:after="40"/>
        <w:ind w:left="283"/>
      </w:pPr>
      <w:r>
        <w:rPr>
          <w:rFonts w:ascii="Calibri" w:hAnsi="Calibri"/>
          <w:b/>
          <w:color w:val="4A6B25"/>
          <w:sz w:val="20"/>
        </w:rPr>
        <w:t xml:space="preserve">2. </w:t>
      </w:r>
      <w:r>
        <w:rPr>
          <w:rFonts w:ascii="Calibri" w:hAnsi="Calibri"/>
          <w:b w:val="0"/>
          <w:color w:val="3A4A28"/>
          <w:sz w:val="20"/>
        </w:rPr>
        <w:t>ROE of -10.72% and profit margin of -19.79% both sit at the scoring floor, and a 5-year revenue CAGR of roughly -9.6% reflects a company still working through the effects of a multi-year decline — sustained double-digit growth is not yet proven across a full cycle [4]</w:t>
      </w:r>
    </w:p>
    <w:p>
      <w:pPr>
        <w:spacing w:before="40" w:after="40"/>
        <w:ind w:left="283"/>
      </w:pPr>
      <w:r>
        <w:rPr>
          <w:rFonts w:ascii="Calibri" w:hAnsi="Calibri"/>
          <w:b/>
          <w:color w:val="4A6B25"/>
          <w:sz w:val="20"/>
        </w:rPr>
        <w:t xml:space="preserve">3. </w:t>
      </w:r>
      <w:r>
        <w:rPr>
          <w:rFonts w:ascii="Calibri" w:hAnsi="Calibri"/>
          <w:b w:val="0"/>
          <w:color w:val="3A4A28"/>
          <w:sz w:val="20"/>
        </w:rPr>
        <w:t>The 34% workforce reduction executed in 2025, while central to the turnaround narrative, creates real organizational and execution risk during the most technically demanding period (18A ramp, foundry customer wins) in Intel's recent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Intel's core businesses — physical chip manufacturing, x86 CPU architecture, and now foundry services backed by CHIPS Act support — carry real structural moats against pure software-AI disruption, and Intel is increasingly positioning itself as AI infrastructure via DCAI (+59% YoY) and a Google Cloud collaboration rather than being displaced by it [1][2]. The genuine risk is competitive, not existential: Intel has lost the majority of AI-training silicon share to Nvidia and AMD's GPU-centric approach, and its foundry business must still prove it can win external customers at the leading edge against TSMC, so this falls short of the 'immune' tier despite real defensive assets [1]. AI Opportunity (1/1): DCAI revenue of $6.3B (+59% YoY) is a specific, quantified AI-driven revenue stream, alongside a new Google Cloud partnership targeting AI workloads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Intel Q2 2026 Earnings Release and Earnings Call — Revenue $16.1B (+25.4%), Foundry $5.8B (+31%), DCAI $6.3B (+59%), 18A Output +25% vs Target — DataCenterDynamics, SemiWiki, TradingKey, Intel IR, July 2026</w:t>
      </w:r>
    </w:p>
    <w:p>
      <w:pPr>
        <w:spacing w:before="20" w:after="20"/>
        <w:ind w:left="170"/>
      </w:pPr>
      <w:r>
        <w:rPr>
          <w:rFonts w:ascii="Calibri" w:hAnsi="Calibri"/>
          <w:b/>
          <w:color w:val="4A6B25"/>
          <w:sz w:val="15"/>
        </w:rPr>
        <w:t xml:space="preserve">2. </w:t>
      </w:r>
      <w:r>
        <w:rPr>
          <w:rFonts w:ascii="Calibri" w:hAnsi="Calibri"/>
          <w:b w:val="0"/>
          <w:color w:val="3A4A28"/>
          <w:sz w:val="17"/>
        </w:rPr>
        <w:t>Lip-Bu Tan Turnaround Coverage — Workforce Reduction, Engineering-First Restructuring, Insider Share Purchases, Google Cloud AI Partnership — CNBC, Stanford SIEPR, CNN Business, techgolly.com, June-August 2026</w:t>
      </w:r>
    </w:p>
    <w:p>
      <w:pPr>
        <w:spacing w:before="20" w:after="20"/>
        <w:ind w:left="170"/>
      </w:pPr>
      <w:r>
        <w:rPr>
          <w:rFonts w:ascii="Calibri" w:hAnsi="Calibri"/>
          <w:b/>
          <w:color w:val="4A6B25"/>
          <w:sz w:val="15"/>
        </w:rPr>
        <w:t xml:space="preserve">3. </w:t>
      </w:r>
      <w:r>
        <w:rPr>
          <w:rFonts w:ascii="Calibri" w:hAnsi="Calibri"/>
          <w:b w:val="0"/>
          <w:color w:val="3A4A28"/>
          <w:sz w:val="17"/>
        </w:rPr>
        <w:t>Intel ESG Rollback — Dropped Emissions Comp Modifier, Eliminated Supplier Emissions Target — KnowESG, ESG sustainability analyst coverage,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INTC Key Statistics and Financials: Forward P/E 61.69x, ROE -10.72%, Profit Margin -19.79%, D/E 0.49, Stock Price $102.50,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