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INTR</w:t>
      </w:r>
      <w:r>
        <w:rPr>
          <w:rFonts w:ascii="Calibri" w:hAnsi="Calibri"/>
          <w:b/>
          <w:color w:val="1A2010"/>
          <w:sz w:val="40"/>
        </w:rPr>
        <w:t xml:space="preserve">  Inter &amp; Co, Inc.</w:t>
      </w:r>
    </w:p>
    <w:p>
      <w:pPr>
        <w:spacing w:after="120"/>
      </w:pPr>
      <w:r>
        <w:rPr>
          <w:rFonts w:ascii="Calibri" w:hAnsi="Calibri"/>
          <w:b/>
          <w:color w:val="6E8450"/>
          <w:sz w:val="18"/>
        </w:rPr>
        <w:t>GROWTH SLEEVE · 2026-07-10 · Inspire: 29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NASDAQ · Brazil</w:t>
      </w:r>
    </w:p>
    <w:p>
      <w:pPr>
        <w:spacing w:after="80"/>
      </w:pPr>
      <w:r>
        <w:rPr>
          <w:rFonts w:ascii="Calibri" w:hAnsi="Calibri"/>
          <w:b w:val="0"/>
          <w:color w:val="3A4A28"/>
          <w:sz w:val="20"/>
        </w:rPr>
        <w:t>Inter &amp; Co, Inc. operates as a digital financial services platform in Brazil and the United States, providing banking, investing, insurance, and e-commerce services through its AI-powered super app. The company serves over 44 million clients with fee-free digital banking and has expanded into cross-border financial services for the Brazilian diaspora in the US. Co-founded in 1994 by Brazilian billionaire Rubens Menin as Banco Inter, headquartered in Belo Horizonte, Brazil.</w:t>
      </w:r>
    </w:p>
    <w:p>
      <w:r>
        <w:rPr>
          <w:rFonts w:ascii="Calibri" w:hAnsi="Calibri"/>
          <w:b/>
          <w:color w:val="6E8450"/>
          <w:sz w:val="18"/>
        </w:rPr>
        <w:t>5,000 Employees · https://investors.inter.co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Inter &amp; Co executed a transformative business model pivot from a traditional Brazilian bank (founded 1994) to a digital-first super app platform, completing NASDAQ listing in 2022 and growing from a regional bank to 44 million clients [1][4]. The company simultaneously launched cross-border banking for the Brazilian diaspora in the US, opened an e-commerce marketplace, and integrated investment and insurance services — multiple successful business extensions that redefined the company. AI Deployment (1/2): Inter launched its AI-powered SEVEN platform to differentiate its digital banking experience, integrating AI into customer engagement and personalization across the super app. Management frames AI as central to the next phase of growth, though specific AI-driven revenue gains have not been quantified [1]. Market Share (1/2): Inter holds approximately 9% market share in Brazil's PIX transactions (396 billion BRL in Q1 2026, up 26% YoY) and serves 44 million clients, making it one of Brazil's largest digital banks but still trailing Nubank's 100M+ clients [1]. Product Pipeline (1/2): Expansion of cross-border US banking targeting the Brazilian diaspora, deepening AI integration through the SEVEN platform, and credit portfolio growth (33% YoY to R$50B) with nearly 70% secured by collateral [1]. R&amp;D Intensity (1/1): As a fintech company, Inter invests heavily in technology and platform development relative to traditional banking peers, with technology underpinning every product line from payments to investments to insurance.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Inter &amp; Co positions itself as simplifying financial services and making them accessible through technology — 'a low-cost financial hub' that combines banking, investing, and shopping in one platform [4]. The mission is clear and identifies what the company does for whom, but is not deeply distinctive or differentiated from other digital banking competitors like Nubank. Community Impact (0/2): No evidence of specific charitable programs, foundation, or community investment beyond the business model itself. While fee-free banking for 44 million Brazilians has social impact, this is the commercial strategy rather than philanthropic activity. Employee Retention (0/2): No employee retention data, average tenure, or voluntary turnover figures publicly available. Insider Buying (0/2): The Menin family (co-founder Rubens Menin and CEO Joao Vitor Menin) holds a significant ownership stake, demonstrating alignment, but no evidence of meaningful net insider buying in the last 12 months was identified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Inter &amp; Co delivered exceptional financial performance in Q1 2026 with ROE reaching a record 15.5% (at target, 2x weight) and revenue growing 32.8% YoY to R$2.4B [1]. Five-year revenue CAGR of approximately 26% from R$3,563M in 2022 to R$9,004M LTM March 2026 scores at target (2x weight) [1]. Forward P/E of 6.85 is well below the 20 target, reflecting significant earnings discount relative to growth rate [3]. Net margin of 16.3% scores 0.82 against the 20% target [3]. D/E of 193.78% scores 0.46 — elevated for a non-bank but typical for a financial institution [3]. Net income grew 37.8% YoY to R$395M with a 33% CAGR in net income since 2022 [1]. The efficiency ratio improved to 43%, demonstrating operational leverage in the super app model.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Inter &amp; Co demonstrates meaningful infinite-game characteristics under the Menin family leadership — the transformation from a 1994 traditional bank to a digital super app serving 44 million clients reflects genuine long-term thinking and willingness to reinvent. The company invests for future capability (US expansion, AI platform, credit portfolio growth) even when near-term results are uncertain. However, the organization is still proving whether its purpose transcends growth ambition, and the competitive language remains focused on capturing market share rather than serving a cause.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Inter's purpose of democratizing access to financial services through technology has a genuine 'better future' quality — providing fee-free banking, investments, insurance, and shopping to 44 million Brazilians who previously relied on expensive traditional banks [1][4]. The purpose is inclusive, service-oriented, and bigger than any single product. However, the cause has not yet been tested through major crises or leadership transitions — Joao Vitor Menin took global CEO in 2024 and the company has been in a high-growth phase without facing the adversity that validates a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Menin family's founding involvement since 1994 provides leadership continuity. The recent CEO-centric restructuring with executives reporting directly to the Global CEO suggests a streamlined organization [5]. The company's growing activation rate (nearly 60%) and client base suggest that employees are empowered to iterate and ship product improvements. However, no specific data on employee tenure, voluntary turnover, or cultural practices is available to assess trust rigorously.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Inter acknowledges Nubank as a formidable competitor and uses that competitive dynamic to sharpen its own super app strategy — rather than trying to out-Nubank Nubank on pure banking, Inter differentiates by building a broader commerce and financial ecosystem [4]. Management commentary focuses on Inter's unique advantages (super app integration, cross-selling, marketplace) rather than attacking competitors. The competitive framing is about self-improvement through distinctive positioning.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Inter fundamentally reinvented itself from a traditional brick-and-mortar Brazilian bank to a digital super app platform — entering entirely new markets (investments, insurance, e-commerce, cross-border banking) while abandoning the legacy branch model [4]. This transformation was incremental rather than a single dramatic pivot (evolution over several years from 2015 onward), but the cumulative change is substantial. The shift was driven by a vision of financial democratization rather than desperation.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Inter's leadership made a courageous strategic decision to transform from a traditional Brazilian bank to a digital-first super app — cannibalizing the branch-based model for a fee-free digital platform that initially had no revenue model [4]. The NASDAQ listing in 2022 and US expansion targeting the Brazilian diaspora represent additional long-term bets. However, these moves were made during a Brazilian fintech boom with strong capital availability, reducing the relative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Inter &amp; Co is a high-growth Brazilian digital bank delivering record profitability — Q1 2026 net income of R$395M (up 37.8% YoY), ROE of 15.5%, and 44 million clients with a 60% activation rate [1]. The super app model combining banking, investments, insurance, and e-commerce creates powerful cross-selling economics, with the credit portfolio expanding 33% YoY to R$50B (70% secured) and net margin at 16.3% [1]. At a forward P/E of 6.85 with earnings growing 30%+ annually, the stock trades at a fraction of comparable US fintechs. The SEVEN AI platform and US expansion targeting 2+ million Brazilian expats provide additional growth vectors, while the Menin family's founding ownership ensures long-term alignment [3][4].</w:t>
      </w:r>
    </w:p>
    <w:p>
      <w:pPr>
        <w:spacing w:after="120"/>
      </w:pPr>
      <w:r>
        <w:rPr>
          <w:rFonts w:ascii="Calibri" w:hAnsi="Calibri"/>
          <w:b w:val="0"/>
          <w:color w:val="3A4A28"/>
          <w:sz w:val="20"/>
        </w:rPr>
        <w:t>The primary risks center on Brazil macro exposure and currency volatility. The stock has declined 45% from its 52-week high of $10.36 to $5.71, partly reflecting BRL depreciation and Brazilian political/fiscal uncertainty that compress all Brazilian equity multiples [3]. D/E of 193.78% is typical for a bank but creates vulnerability in a credit cycle downturn — the 33% YoY credit portfolio growth could generate elevated non-performing loans if Brazil's economy weakens. Competition from Nubank (100M+ clients, stronger brand recognition globally) and traditional Brazilian banks entering digital could erode Inter's growth trajectory. As a Brazilian-domiciled company trading ADRs on NASDAQ, INTR carries country risk, regulatory risk from the Central Bank of Brazil, and FX translation risk that make earnings comparisons with US peers imprecise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ROE expansion toward the company's 20%+ target as the super app model delivers operating leverage, with net income CAGR of 33% since 2022 demonstrating a clear upward trajectory</w:t>
      </w:r>
    </w:p>
    <w:p>
      <w:pPr>
        <w:spacing w:before="40" w:after="40"/>
        <w:ind w:left="283"/>
      </w:pPr>
      <w:r>
        <w:rPr>
          <w:rFonts w:ascii="Calibri" w:hAnsi="Calibri"/>
          <w:b/>
          <w:color w:val="4A6B25"/>
          <w:sz w:val="20"/>
        </w:rPr>
        <w:t xml:space="preserve">2. </w:t>
      </w:r>
      <w:r>
        <w:rPr>
          <w:rFonts w:ascii="Calibri" w:hAnsi="Calibri"/>
          <w:b w:val="0"/>
          <w:color w:val="3A4A28"/>
          <w:sz w:val="20"/>
        </w:rPr>
        <w:t>AI-powered SEVEN platform driving deeper client engagement and higher ARPU through personalized financial product recommendations across the 44 million user base</w:t>
      </w:r>
    </w:p>
    <w:p>
      <w:pPr>
        <w:spacing w:before="40" w:after="40"/>
        <w:ind w:left="283"/>
      </w:pPr>
      <w:r>
        <w:rPr>
          <w:rFonts w:ascii="Calibri" w:hAnsi="Calibri"/>
          <w:b/>
          <w:color w:val="4A6B25"/>
          <w:sz w:val="20"/>
        </w:rPr>
        <w:t xml:space="preserve">3. </w:t>
      </w:r>
      <w:r>
        <w:rPr>
          <w:rFonts w:ascii="Calibri" w:hAnsi="Calibri"/>
          <w:b w:val="0"/>
          <w:color w:val="3A4A28"/>
          <w:sz w:val="20"/>
        </w:rPr>
        <w:t>US cross-border banking expansion capturing wallet share from 2+ million Brazilian expats, diversifying revenue away from BRL-denominated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Brazilian macroeconomic deterioration or BRL depreciation eroding USD-denominated returns for NASDAQ investors — the stock declined 14.5% in a single session after Q1 results despite record profitability</w:t>
      </w:r>
    </w:p>
    <w:p>
      <w:pPr>
        <w:spacing w:before="40" w:after="40"/>
        <w:ind w:left="283"/>
      </w:pPr>
      <w:r>
        <w:rPr>
          <w:rFonts w:ascii="Calibri" w:hAnsi="Calibri"/>
          <w:b/>
          <w:color w:val="4A6B25"/>
          <w:sz w:val="20"/>
        </w:rPr>
        <w:t xml:space="preserve">2. </w:t>
      </w:r>
      <w:r>
        <w:rPr>
          <w:rFonts w:ascii="Calibri" w:hAnsi="Calibri"/>
          <w:b w:val="0"/>
          <w:color w:val="3A4A28"/>
          <w:sz w:val="20"/>
        </w:rPr>
        <w:t>33% YoY credit portfolio growth to R$50B creates elevated credit cycle risk if Brazil's economy weakens, potentially generating non-performing loan write-offs that compress margins</w:t>
      </w:r>
    </w:p>
    <w:p>
      <w:pPr>
        <w:spacing w:before="40" w:after="40"/>
        <w:ind w:left="283"/>
      </w:pPr>
      <w:r>
        <w:rPr>
          <w:rFonts w:ascii="Calibri" w:hAnsi="Calibri"/>
          <w:b/>
          <w:color w:val="4A6B25"/>
          <w:sz w:val="20"/>
        </w:rPr>
        <w:t xml:space="preserve">3. </w:t>
      </w:r>
      <w:r>
        <w:rPr>
          <w:rFonts w:ascii="Calibri" w:hAnsi="Calibri"/>
          <w:b w:val="0"/>
          <w:color w:val="3A4A28"/>
          <w:sz w:val="20"/>
        </w:rPr>
        <w:t>Competition from Nubank (100M+ clients, superior brand globally), traditional banks accelerating digital transformation, and potential regulatory changes from Brazil's Central Bank that could level the playing field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Digital banking is protected from AI disruption by regulatory requirements (banking licenses, compliance, capital adequacy), customer trust and deposit insurance, and the complexity of cross-selling financial products within an integrated platform [4]. AI cannot replicate the regulatory infrastructure, government relationships, or payment network integrations that underpin Inter's banking operations. However, AI tools could enable non-bank competitors to offer financial advice, credit scoring, and customer service at lower cost, and AI-powered finance apps could reduce the switching cost advantage of super app platforms. The Brazilian banking regulator (BCB) provides a regulatory moat but also creates exposure if AI-native fintechs receive banking licenses. AI Opportunity (1/1): Inter launched its AI-powered SEVEN platform integrated across the super app, using AI for customer personalization, engagement optimization, and credit decisioning. Management positions AI as central to the company's competitive differentiation, and the 60% activation rate in Q1 2026 (highest quarterly jump since 2024) suggests AI-driven engagement improvements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Inter &amp; Co Q1 2026 Earnings Release and Investor Presentation — GlobeNewswire, May 7, 2026</w:t>
      </w:r>
    </w:p>
    <w:p>
      <w:pPr>
        <w:spacing w:before="20" w:after="20"/>
        <w:ind w:left="170"/>
      </w:pPr>
      <w:r>
        <w:rPr>
          <w:rFonts w:ascii="Calibri" w:hAnsi="Calibri"/>
          <w:b/>
          <w:color w:val="4A6B25"/>
          <w:sz w:val="15"/>
        </w:rPr>
        <w:t xml:space="preserve">2. </w:t>
      </w:r>
      <w:r>
        <w:rPr>
          <w:rFonts w:ascii="Calibri" w:hAnsi="Calibri"/>
          <w:b w:val="0"/>
          <w:color w:val="3A4A28"/>
          <w:sz w:val="17"/>
        </w:rPr>
        <w:t>Inter &amp; Co Q1 2026 Earnings Call Transcript — Investing.com, May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INTR Key Statistics and Financial Data,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GabGrowth / Emerging Value — Inter &amp; Co Deep Dive, 2026</w:t>
      </w:r>
    </w:p>
    <w:p>
      <w:pPr>
        <w:spacing w:before="20" w:after="20"/>
        <w:ind w:left="170"/>
      </w:pPr>
      <w:r>
        <w:rPr>
          <w:rFonts w:ascii="Calibri" w:hAnsi="Calibri"/>
          <w:b/>
          <w:color w:val="4A6B25"/>
          <w:sz w:val="15"/>
        </w:rPr>
        <w:t xml:space="preserve">5. </w:t>
      </w:r>
      <w:r>
        <w:rPr>
          <w:rFonts w:ascii="Calibri" w:hAnsi="Calibri"/>
          <w:b w:val="0"/>
          <w:color w:val="3A4A28"/>
          <w:sz w:val="17"/>
        </w:rPr>
        <w:t>Simply Wall St — Inter &amp; Co Insider Trading and Ownership Structure,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