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IONS</w:t>
      </w:r>
      <w:r>
        <w:rPr>
          <w:rFonts w:ascii="Calibri" w:hAnsi="Calibri"/>
          <w:b/>
          <w:color w:val="1A2010"/>
          <w:sz w:val="40"/>
        </w:rPr>
        <w:t xml:space="preserve">  Ionis Pharmaceuticals, Inc.</w:t>
      </w:r>
    </w:p>
    <w:p>
      <w:pPr>
        <w:spacing w:after="120"/>
      </w:pPr>
      <w:r>
        <w:rPr>
          <w:rFonts w:ascii="Calibri" w:hAnsi="Calibri"/>
          <w:b/>
          <w:color w:val="6E8450"/>
          <w:sz w:val="18"/>
        </w:rPr>
        <w:t>GROWTH SLEEVE · 2026-07-15 · Inspire: 35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Ionis Pharmaceuticals is the pioneer and global leader in antisense oligonucleotide (ASO) drug development, with over 35 years of innovation in RNA-targeted therapies. The company has more than 1,800 issued patents and approximately 490 employees, producing over three patents per employee. Ionis commercializes SPINRAZA (spinal muscular atrophy), TRYNGOLZA (familial chylomicronemia syndrome), and DAWNZERA, while maintaining a pipeline of 40+ clinical programs. Key partner: Roche. Headquartered in Carlsbad, California.</w:t>
      </w:r>
    </w:p>
    <w:p>
      <w:r>
        <w:rPr>
          <w:rFonts w:ascii="Calibri" w:hAnsi="Calibri"/>
          <w:b/>
          <w:color w:val="6E8450"/>
          <w:sz w:val="18"/>
        </w:rPr>
        <w:t>1,402 Employees · https://www.ionis.com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Ionis successfully transitioned from a pure R&amp;D licensing company to independent commercial operations with TRYNGOLZA and DAWNZERA launches in 2025-2026, while SPINRAZA continues generating revenue through partner Biogen [1]. Revenue surged 87% YoY in Q1 2026 to $246M, driven by strong commercial launches and milestone payments. The Roche partnership for new antisense programs validates the platform [4]. However, the company has not yet achieved a transformative pivot comparable to NVDA's gaming-to-AI shift. AI Deployment (1/2): Ionis leverages computational methods and innovative AI-driven approaches to enhance antisense drug design, optimizing therapeutic efficacy and broadening treatment modalities across its platform [2]. This represents internal AI adoption for drug discovery rather than AI products shipping to customers. Market Share (2/2): 'Antisense technology exists today primarily because of innovation at Ionis' — the company is the undisputed category creator and leader in antisense oligonucleotide therapeutics with 1,800+ patents and 35+ years of platform development [2]. No competitor has matched this depth of antisense expertise. Product Pipeline (2/2): Management raised 2026 total revenue guidance to $875-900M, with olezarsen peak sales expectations increased to over $3B [1]. Two independent launches underway, two more anticipated in 2026, and a robust pipeline of 40+ clinical programs with multiple near-term catalysts across cardiometabolic, neurological, and rare diseases [1][2]. R&amp;D Intensity (1/1): As a biotech company, Ionis invests heavily in R&amp;D — the vast majority of its historical expenditure has been R&amp;D, well above industry average. With 490 employees producing 1,800+ patents, R&amp;D productivity is exceptional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Ionis's purpose of transforming patients' lives through antisense technology has been validated by 35+ years of consistent execution through decades of losses, multiple failed programs, and industry skepticism [2]. CEO Brett Monia is a company founder who has been with Ionis since its inception, and the company's strategic decisions consistently trace back to advancing RNA-targeted medicines. The purpose differentiates Ionis from peers and has survived the test of time. Community Impact (0/2): Ionis established a Corporate Responsibility Steering Committee in 2022 and published ESG frameworks, but no evidence of distinctive community investment programs or foundation-level philanthropy was identified [6]. Employee Retention (1/2): Glassdoor rating of 4.0/5 based on 120 reviews, with employees citing a 'unique culture that fostered innovation, collaboration, intensity, adaptability, and exceptional productivity' [3]. However, reviews are mixed by department, with some citing 'toxic work culture' in specific groups and tight deadlines. No specific tenure or turnover data available. Insider Buying (0/2): Recent insider activity shows primarily selling — $6.30M in insider sales over 30 days, including $1.68M sold by director Joseph Wender and executive Shannon Devers via pre-arranged 10b5-1 plans [7]. No meaningful net insider buying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Revenue growth is the standout positive: 33.8% YoY ($943.7M in FY2025 vs $705.1M in FY2024) and an estimated 6% 5yr CAGR, with Q1 2026 surging 87% to $246M including $95M in milestone payments [1][6]. However, the company remains deeply unprofitable with -30.90% profit margin, -67.62% ROE, and -$807.8M levered free cash flow reflecting heavy investment in pipeline and commercial infrastructure [5]. D/E of 531.05% is significantly above the 300% floor, driven by $1.8B debt against only $588.4M shareholder equity (accumulated deficit from 30+ years of pre-commercial losses), despite $1.98B in gross cash providing adequate liquidity [5][6]. Forward P/E is not calculable as earnings remain negative. Management targets cash flow breakeven by 2028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Ionis demonstrates meaningful infinite game characteristics through its 35+ years of consistent commitment to antisense technology, surviving decades of losses and industry skepticism to emerge as the category creator and leader. The transition from licensing-dependent R&amp;D company to independent commercial operations represents genuine existential flexibility. However, the company has not yet been tested through the kind of dramatic crisis or leadership transition that validates a Just Cause at the highest level, and insider selling signals suggest leadership may prioritize near-term financial outcomes.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Ionis's purpose of transforming patients' lives through RNA-targeted medicines has been lived out for 35+ years [2]. The company operated at a loss for over three decades, consistently investing in antisense technology when the entire field was viewed with skepticism by the broader pharmaceutical industry. Founder Brett Monia now serves as CEO, maintaining continuity with the founding purpose. Strategic decisions — the Roche partnership, independent commercial launches, pipeline prioritization — trace clearly to advancing antisense medicines. Falls short of 3/3 because the purpose, while genuine and validated, has not yet survived a fundamental leadership transition or existential crisis that tested it.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4.0/5 rating with employees citing 'unique culture fostering innovation, collaboration, and exceptional productivity' [3]. The company's small size (1,402 employees producing 1,800+ patents) suggests a high-trust, high-performance environment. However, reviews are mixed — some departments (notably GPSO) describe 'toxic work culture' with tight deadlines and limited work-life balance [3]. No specific tenure or turnover data available to confirm retention.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Ionis competes primarily with Alnylam Pharmaceuticals (siRNA technology) and emerging mRNA therapeutics companies. The company's competitive language focuses on advancing the science of RNA-targeted medicines rather than defeating specific competitors. Management discussions consistently frame the opportunity in terms of treating previously untreatable diseases through antisense technology — positioning the company's work as advancing a field rather than winning a zero-sum game against rivals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Ionis has evolved from a pure R&amp;D licensing company (dependent on partners like Biogen for commercialization) to building its own commercial operations with independent launches of TRYNGOLZA and DAWNZERA [1][2]. This represents a meaningful business model evolution that required building an entirely new organizational capability. The Roche partnership shows continued willingness to partner strategically while maintaining independent commercial capacity. However, the shift is incremental rather than transformative — the company has not abandoned its core technology, just changed how it monetizes 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company's willingness to operate at a loss for 30+ years while building the antisense platform represents extraordinary long-term investment, though this occurred primarily before current CEO Monia's tenure [2]. Under Monia, the transition to independent commercialization (building a commercial infrastructure rather than licensing everything to partners) required accepting continued near-term losses for long-term capability. The raised revenue guidance to $875-900M with confidence in $3B+ peak sales for olezarsen shows conviction [1]. However, $6.30M in recent insider selling suggests leadership may be taking chips off the table rather than demonstrating full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Ionis is the undisputed pioneer and leader in antisense oligonucleotide therapeutics, now inflecting from a 35-year R&amp;D platform into a commercial biotech with accelerating revenue. Q1 2026 revenue surged 87% YoY to $246M, management raised 2026 guidance to $875-900M, and peak sales expectations for olezarsen were increased to $3B+ [1]. The company has two independent commercial launches underway and two more anticipated in 2026, backed by a pipeline of 40+ clinical programs across cardiometabolic, neurological, and rare diseases [1][2]. With 1,800+ patents, the Roche partnership validating the platform, and an Inspire Impact Score of 35 (ALIGNED), Ionis combines scientific moat depth with values alignment. The $9.1B market cap and $1.98B cash provide scale and liquidity to reach the 2028 cash flow breakeven target [5].</w:t>
      </w:r>
    </w:p>
    <w:p>
      <w:pPr>
        <w:spacing w:after="120"/>
      </w:pPr>
      <w:r>
        <w:rPr>
          <w:rFonts w:ascii="Calibri" w:hAnsi="Calibri"/>
          <w:b w:val="0"/>
          <w:color w:val="3A4A28"/>
          <w:sz w:val="20"/>
        </w:rPr>
        <w:t>The bear case centers on Ionis's persistent unprofitability and elevated financial risk. Profit margin of -30.90%, ROE of -67.62%, and levered free cash flow of -$807.8M reflect a company still burning through cash at scale [5]. D/E of 531.05% — $1.8B debt against $588.4M shareholder equity — is the highest in this screening batch and well above the 300% floor [5][6]. Revenue is lumpy due to milestone payments ($95M in Q1 2026 alone), making underlying commercial trajectory difficult to assess. The stock has declined 37% from its 52-week high of $86.74, with $6.30M in recent insider selling suggesting leadership may not fully share the bull case conviction [7]. If TRYNGOLZA or DAWNZERA launches disappoint, or if pipeline setbacks occur, the path to 2028 cash flow breakeven becomes questionable. The biotech sector carries inherent binary risk — any clinical program failure could materially impact the pipeline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TRYNGOLZA and DAWNZERA commercial launch trajectories accelerating, with olezarsen peak sales expectations raised to $3B+ and total 2026 revenue guided to $875-900M, positioning Ionis for inflection toward profitability</w:t>
      </w:r>
    </w:p>
    <w:p>
      <w:pPr>
        <w:spacing w:before="40" w:after="40"/>
        <w:ind w:left="283"/>
      </w:pPr>
      <w:r>
        <w:rPr>
          <w:rFonts w:ascii="Calibri" w:hAnsi="Calibri"/>
          <w:b/>
          <w:color w:val="4A6B25"/>
          <w:sz w:val="20"/>
        </w:rPr>
        <w:t xml:space="preserve">2. </w:t>
      </w:r>
      <w:r>
        <w:rPr>
          <w:rFonts w:ascii="Calibri" w:hAnsi="Calibri"/>
          <w:b w:val="0"/>
          <w:color w:val="3A4A28"/>
          <w:sz w:val="20"/>
        </w:rPr>
        <w:t>Two additional independent drug launches anticipated in 2026, potentially expanding the revenue base beyond milestone-dependent lumpy income toward predictable commercial sales</w:t>
      </w:r>
    </w:p>
    <w:p>
      <w:pPr>
        <w:spacing w:before="40" w:after="40"/>
        <w:ind w:left="283"/>
      </w:pPr>
      <w:r>
        <w:rPr>
          <w:rFonts w:ascii="Calibri" w:hAnsi="Calibri"/>
          <w:b/>
          <w:color w:val="4A6B25"/>
          <w:sz w:val="20"/>
        </w:rPr>
        <w:t xml:space="preserve">3. </w:t>
      </w:r>
      <w:r>
        <w:rPr>
          <w:rFonts w:ascii="Calibri" w:hAnsi="Calibri"/>
          <w:b w:val="0"/>
          <w:color w:val="3A4A28"/>
          <w:sz w:val="20"/>
        </w:rPr>
        <w:t>Pipeline catalysts across 40+ clinical programs, including potential FDA approvals and late-stage data readouts in cardiometabolic and neurological diseases that could unlock additional multi-billion-dollar opportunities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531.05% and -$807.8M levered free cash flow create elevated financial risk — if commercial launches underperform or pipeline setbacks occur, the company may need to raise capital at dilutive terms before reaching 2028 cash flow breakeven</w:t>
      </w:r>
    </w:p>
    <w:p>
      <w:pPr>
        <w:spacing w:before="40" w:after="40"/>
        <w:ind w:left="283"/>
      </w:pPr>
      <w:r>
        <w:rPr>
          <w:rFonts w:ascii="Calibri" w:hAnsi="Calibri"/>
          <w:b/>
          <w:color w:val="4A6B25"/>
          <w:sz w:val="20"/>
        </w:rPr>
        <w:t xml:space="preserve">2. </w:t>
      </w:r>
      <w:r>
        <w:rPr>
          <w:rFonts w:ascii="Calibri" w:hAnsi="Calibri"/>
          <w:b w:val="0"/>
          <w:color w:val="3A4A28"/>
          <w:sz w:val="20"/>
        </w:rPr>
        <w:t>Revenue includes $95M in Q1 2026 milestone payments, making underlying commercial momentum difficult to assess — strip out milestones and the organic growth rate is materially lower than the headline 87% YoY figure</w:t>
      </w:r>
    </w:p>
    <w:p>
      <w:pPr>
        <w:spacing w:before="40" w:after="40"/>
        <w:ind w:left="283"/>
      </w:pPr>
      <w:r>
        <w:rPr>
          <w:rFonts w:ascii="Calibri" w:hAnsi="Calibri"/>
          <w:b/>
          <w:color w:val="4A6B25"/>
          <w:sz w:val="20"/>
        </w:rPr>
        <w:t xml:space="preserve">3. </w:t>
      </w:r>
      <w:r>
        <w:rPr>
          <w:rFonts w:ascii="Calibri" w:hAnsi="Calibri"/>
          <w:b w:val="0"/>
          <w:color w:val="3A4A28"/>
          <w:sz w:val="20"/>
        </w:rPr>
        <w:t>Recent insider selling of $6.30M in 30 days, combined with a 37% decline from 52-week highs, suggests leadership confidence may be waning despite the positive guidance narrative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Ionis develops FDA-approved pharmaceutical products — physical medicines that AI structurally cannot displace [2]. The regulatory barriers (10+ year clinical trial and approval processes), manufacturing complexity of antisense oligonucleotides, and 1,800+ patent portfolio create formidable moats against AI disruption. AI may accelerate competitors' drug discovery timelines, but Ionis's 35 years of proprietary antisense chemistry, delivery mechanisms, and clinical data represent irreplaceable institutional knowledge. The main exposure is that AI could enable competitors to design alternative RNA-targeted therapies (siRNA, mRNA) more efficiently, potentially reducing Ionis's platform advantage over the very long term. AI Opportunity (0/1): Ionis uses computational and AI methods internally for drug design optimization, but this does not constitute AI revenue. The company's revenue is entirely from pharmaceutical products and licensing, not AI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Ionis Reports Q1 2026 Financial Results — $246M revenue (87% YoY), raised 2026 guidance to $875-900M, Ionis Pharmaceuticals IR, May 2026</w:t>
      </w:r>
    </w:p>
    <w:p>
      <w:pPr>
        <w:spacing w:before="20" w:after="20"/>
        <w:ind w:left="170"/>
      </w:pPr>
      <w:r>
        <w:rPr>
          <w:rFonts w:ascii="Calibri" w:hAnsi="Calibri"/>
          <w:b/>
          <w:color w:val="4A6B25"/>
          <w:sz w:val="15"/>
        </w:rPr>
        <w:t xml:space="preserve">2. </w:t>
      </w:r>
      <w:r>
        <w:rPr>
          <w:rFonts w:ascii="Calibri" w:hAnsi="Calibri"/>
          <w:b w:val="0"/>
          <w:color w:val="3A4A28"/>
          <w:sz w:val="17"/>
        </w:rPr>
        <w:t>Ionis Pharmaceuticals Innovation Day and Platform Overview — 1,800+ patents, antisense technology pioneer, 35+ year history, 2025-2026</w:t>
      </w:r>
    </w:p>
    <w:p>
      <w:pPr>
        <w:spacing w:before="20" w:after="20"/>
        <w:ind w:left="170"/>
      </w:pPr>
      <w:r>
        <w:rPr>
          <w:rFonts w:ascii="Calibri" w:hAnsi="Calibri"/>
          <w:b/>
          <w:color w:val="4A6B25"/>
          <w:sz w:val="15"/>
        </w:rPr>
        <w:t xml:space="preserve">3. </w:t>
      </w:r>
      <w:r>
        <w:rPr>
          <w:rFonts w:ascii="Calibri" w:hAnsi="Calibri"/>
          <w:b w:val="0"/>
          <w:color w:val="3A4A28"/>
          <w:sz w:val="17"/>
        </w:rPr>
        <w:t>Glassdoor Reviews — Ionis Pharmaceuticals, 4.0/5 rating, 120 reviews,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Ionis Pharmaceuticals / Roche Partnership and Pipeline Coverage — Pharmaceutical Technology, 2025-2026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IONS Key Statistics and Financial Data, accessed July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 MacroTrends — IONS Revenue History 2021-2026, accessed July 2026</w:t>
      </w:r>
    </w:p>
    <w:p>
      <w:pPr>
        <w:spacing w:before="20" w:after="20"/>
        <w:ind w:left="170"/>
      </w:pPr>
      <w:r>
        <w:rPr>
          <w:rFonts w:ascii="Calibri" w:hAnsi="Calibri"/>
          <w:b/>
          <w:color w:val="4A6B25"/>
          <w:sz w:val="15"/>
        </w:rPr>
        <w:t xml:space="preserve">7. </w:t>
      </w:r>
      <w:r>
        <w:rPr>
          <w:rFonts w:ascii="Calibri" w:hAnsi="Calibri"/>
          <w:b w:val="0"/>
          <w:color w:val="3A4A28"/>
          <w:sz w:val="17"/>
        </w:rPr>
        <w:t>AINvest — Evaluating Ionis Pharmaceuticals Insider Selling, $1.68M share sale analysis, September 2025</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