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ITUB</w:t>
      </w:r>
      <w:r>
        <w:rPr>
          <w:rFonts w:ascii="Calibri" w:hAnsi="Calibri"/>
          <w:b/>
          <w:color w:val="1A2010"/>
          <w:sz w:val="40"/>
        </w:rPr>
        <w:t xml:space="preserve">  Itau Unibanco Holding S.A.</w:t>
      </w:r>
    </w:p>
    <w:p>
      <w:pPr>
        <w:spacing w:after="120"/>
      </w:pPr>
      <w:r>
        <w:rPr>
          <w:rFonts w:ascii="Calibri" w:hAnsi="Calibri"/>
          <w:b/>
          <w:color w:val="6E8450"/>
          <w:sz w:val="18"/>
        </w:rPr>
        <w:t>DIVIDEND SLEEVE · 2026-08-12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Itau Unibanco is Latin America's largest bank by market capitalization, with operations across Brazil and Latin America spanning retail, corporate, investment banking, and asset management. The bank has repositioned itself as a technology-driven institution with over 1,300 AI models deployed, 450 AI professionals, and a commitment to go fully digital by 2028. Q1 2026 recurring profit reached R$12.3B (up 10.4% YoY) with a record-low Brazil efficiency ratio of 34.9% and ROE of 24.8%.</w:t>
      </w:r>
    </w:p>
    <w:p>
      <w:r>
        <w:rPr>
          <w:rFonts w:ascii="Calibri" w:hAnsi="Calibri"/>
          <w:b/>
          <w:color w:val="6E8450"/>
          <w:sz w:val="18"/>
        </w:rPr>
        <w:t>97,000 Employees · https://www.itau.com.br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recurring managerial profit of R$12.3B (up 10.4% YoY) and Q2 2026 of R$12.4B (up 7.8% YoY) demonstrate consistent execution [1]. Brazil efficiency ratio reached a record-low 34.9% in Q1, driven by AI-enabled process automation and digital transformation [1]. Named world's best digital bank for SMEs by Euromoney in 2026 and Latin America's best bank for ESG in 2025 [3]. AI Deployment (2/2): Over 1,300 AI models in production across 400+ applications, with 450 dedicated AI professionals. Launched generative AI investment advisor, AI-driven fraud detection through MIT CSAIL partnership, and trains models on proprietary SuperApp behavioral data that competitors cannot replicate [2]. Market Share (2/2): Latin America's largest bank with dominant position in Brazilian retail, corporate, and investment banking [1]. Pipeline (1/2): R$500M venture fund targeting AI, payments, cybersecurity; go-digital-by-2028 commitment via AWS cloud migration; NeoSpace AI investment deepening agentic AI capabilities [2]. R&amp;D Intensity (1/1): Massive technology investment with AI as a listed strategic priority; increased digital expertise staff thirteen-fold in two years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Milton Maluhy Filho's vision of Itau as 'a technology company with a banking license' reframes a 100-year institution for the digital age. The mission is specific and forward-looking but fundamentally about operational transformation rather than a deeper social purpose [2]. Community Impact (1/2): Significant employer (~97,000 people), venture fund supporting fintech ecosystem, and 5% of CEO variable pay tied to ESG goals. Named Latin America's best bank for ESG in 2025 by Euromoney [3]. Employee Retention (1/2): Long-tenured workforce with CEO Maluhy having spent his entire career at Itau since 2000 — 26 years of institutional commitment [2]. However, controversial remote worker surveillance program tracking performance sparked internal backlash and raises trust concerns [4]. Insider Buying (2/2): Strong insider alignment with management team maintaining significant equity positions. CEO compensation heavily weighted toward ROE-focused performance metrics and ESG targets, demonstrating alignment with long-term shareholder interests.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ROE of 24.8% in Q1 2026 (21.8% trailing) far exceeds the 15% target [1][5]. Forward P/E of 8.9 is well below the 20 target, reflecting significant value for a bank delivering consistent double-digit profit growth [5]. Profit margin of approximately 33% is excellent for banking [5]. Revenue growth of 4.5% YoY in Q1 2026 operating revenues is below the 10% target, scoring 0.82 [1]. Payout ratio estimated at 55% is above the 40% target, scoring 0.75. Consecutive years of dividend payments exceeds 10, scoring 1.0 at 2x weight. Consecutive years of dividend growth at 5, scoring 0.5. D/E excluded (banking D/E ratios are structurally high due to deposit liabilities and not comparable to non-financial companies). Dividend yield of approximately 6% provides strong income support. Liquidity: 26M avg volume x $8.20 = $213M daily —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Itau Unibanco demonstrates meaningful infinite game thinking through its 100+ year institutional heritage, ambitious digital transformation (fully digital by 2028), and willingness to invest R$500M in venture capital for long-term innovation. CEO Maluhy's vision of redefining the bank as a technology company shows strategic courage. However, the remote worker surveillance controversy and gaps in environmental financing policies reveal finite control instincts that undermine the narrative of trust-based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Maluhy Filho's vision of transforming Itau into 'a technology company with a banking license' represents a genuine strategic purpose that shapes capital allocation — evidenced by 1,300+ AI models, NeoSpace investment, and the 2028 digital commitment [2]. The purpose connects the bank's 100+ year heritage to a future state that has not yet been achieved. However, the cause is ultimately about institutional transformation rather than a broader vision of human flourishing, and it has not yet been tested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Maluhy has spent 26 years at Itau, providing deep institutional knowledge and leadership continuity. The cultural transformation toward data scientist/domain expert collaboration and thirteen-fold increase in digital expertise staff shows investment in team capability [2]. However, the remote worker surveillance program — tracking employee performance metrics and triggering layoffs — directly contradicts Sinek's Circle of Safety principle and signals finite control instincts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Itau competes with Nubank, Banco do Brasil, and Santander Brasil. The R$500M venture fund and MIT CSAIL partnership suggest learning from fintech rivals rather than dismissing them. CEO Maluhy's acknowledgment of needing to 'stay alert with everything that's going on' shows competitive humility, and the NeoSpace AI investment reflects absorbing competitors' strengths into the company's own capabilities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commitment to go fully digital by 2028 via AWS cloud migration, the R$500M venture fund launch, and the deliberate reframing as a technology company demonstrate substantial strategic flexibility for a 100-year-old institution [2]. The thirteen-fold increase in digital expertise staff in two years is an organizational transformation, not just a technology project. However, the core business model of banking remains unchanged — this is evolution within the banking paradigm,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Tying 5% of CEO variable pay to ESG goals, investing R$500M in a venture fund during a high-rate environment, committing to full digital transformation by 2028, and filing enhanced Social, Environmental and Climate Risk policies with the Brazilian Central Bank show forward-thinking courage [3][4]. However, the remote worker surveillance controversy and gaps in forest-risk sector financing policies (scored 2.8/10 on Amazon deforestation lending) suggest selective courage rather than comprehensive long-term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Itau Unibanco delivered strong Q1 2026 results with R$12.3B recurring profit (up 10.4% YoY) beating expectations, followed by Q2 2026 profit of R$12.4B (up 7.8% YoY), maintaining ROE above 24% and achieving a record-low Brazil efficiency ratio of 34.9% [1]. At a forward P/E of 8.9 with 24.8% ROE and 6% dividend yield, ITUB offers exceptional value among global banking franchises. The 1,300+ AI models deployed across 400+ applications, combined with the 2028 digital transformation commitment and R$500M venture fund, position Itau ahead of Latin American peers and increasingly competitive with global banking technology leaders [2]. Named world's best digital bank for SMEs (Euromoney 2026) and Latin America's best bank for ESG (Euromoney 2025), confirming institutional quality [3]. CEO Maluhy's 26-year tenure at Itau provides continuity for the transformation strategy.</w:t>
      </w:r>
    </w:p>
    <w:p>
      <w:pPr>
        <w:spacing w:after="120"/>
      </w:pPr>
      <w:r>
        <w:rPr>
          <w:rFonts w:ascii="Calibri" w:hAnsi="Calibri"/>
          <w:b w:val="0"/>
          <w:color w:val="3A4A28"/>
          <w:sz w:val="20"/>
        </w:rPr>
        <w:t>The bear case centers on Brazil macroeconomic risk and structural challenges. Rising interest rates and BRL currency volatility directly impact net interest income and credit quality — Q2 2026 revenue slightly missed expectations at $9.1B versus $9.44B expected, suggesting credit cycle headwinds [1]. ESG scrutiny over Amazon deforestation financing (scored 2.8/10 on forest-risk sector policies) and the remote worker surveillance controversy create governance overhang that could affect institutional investor sentiment [4]. Fintech competition from Nubank (600M+ customers across Latin America) threatens fee income in retail banking. Currency risk for USD-based investors remains significant with BRL exposure — a strong dollar environment compresses ADR returns regardless of underlying BRL performance. The 507% D/E ratio, while standard for banking, means any credit cycle deterioration would amplify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efficiency improvements pushing Brazil efficiency ratio below 34% as 1,300+ AI models deepen automation across lending, fraud detection, and customer service — each percentage point improvement translates to hundreds of millions in operating leverage</w:t>
      </w:r>
    </w:p>
    <w:p>
      <w:pPr>
        <w:spacing w:before="40" w:after="40"/>
        <w:ind w:left="283"/>
      </w:pPr>
      <w:r>
        <w:rPr>
          <w:rFonts w:ascii="Calibri" w:hAnsi="Calibri"/>
          <w:b/>
          <w:color w:val="4A6B25"/>
          <w:sz w:val="20"/>
        </w:rPr>
        <w:t xml:space="preserve">2. </w:t>
      </w:r>
      <w:r>
        <w:rPr>
          <w:rFonts w:ascii="Calibri" w:hAnsi="Calibri"/>
          <w:b w:val="0"/>
          <w:color w:val="3A4A28"/>
          <w:sz w:val="20"/>
        </w:rPr>
        <w:t>Digital transformation milestones toward 2028 fully digital goal, with generative AI advisor and SuperApp expanding customer engagement and cross-selling across 97,000-employee organization</w:t>
      </w:r>
    </w:p>
    <w:p>
      <w:pPr>
        <w:spacing w:before="40" w:after="40"/>
        <w:ind w:left="283"/>
      </w:pPr>
      <w:r>
        <w:rPr>
          <w:rFonts w:ascii="Calibri" w:hAnsi="Calibri"/>
          <w:b/>
          <w:color w:val="4A6B25"/>
          <w:sz w:val="20"/>
        </w:rPr>
        <w:t xml:space="preserve">3. </w:t>
      </w:r>
      <w:r>
        <w:rPr>
          <w:rFonts w:ascii="Calibri" w:hAnsi="Calibri"/>
          <w:b w:val="0"/>
          <w:color w:val="3A4A28"/>
          <w:sz w:val="20"/>
        </w:rPr>
        <w:t>Potential Brazilian monetary easing cycle in H2 2026-2027 improving NII spreads, stimulating credit demand, and reducing provision charges below current guided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macroeconomic deterioration — high Selic rate, BRL depreciation, or recession would compress NII, increase credit losses, and reduce ADR returns for USD-based investors</w:t>
      </w:r>
    </w:p>
    <w:p>
      <w:pPr>
        <w:spacing w:before="40" w:after="40"/>
        <w:ind w:left="283"/>
      </w:pPr>
      <w:r>
        <w:rPr>
          <w:rFonts w:ascii="Calibri" w:hAnsi="Calibri"/>
          <w:b/>
          <w:color w:val="4A6B25"/>
          <w:sz w:val="20"/>
        </w:rPr>
        <w:t xml:space="preserve">2. </w:t>
      </w:r>
      <w:r>
        <w:rPr>
          <w:rFonts w:ascii="Calibri" w:hAnsi="Calibri"/>
          <w:b w:val="0"/>
          <w:color w:val="3A4A28"/>
          <w:sz w:val="20"/>
        </w:rPr>
        <w:t>ESG controversy around Amazon deforestation financing — scored 2.8/10 on forest-risk policies with gaps in Indigenous Peoples' rights protections, creating institutional investor discount and regulatory risk</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from Nubank and digital-native competitors eroding retail banking fee income and market share, particularly among younger demographics where digital-first adoption is highest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requires regulatory compliance, relationship management, fiduciary trust, and physical branch infrastructure that AI cannot fully replicate [1]. Itau's massive scale, 97,000-person workforce, and proprietary customer data create compounding advantages through AI model training — the SuperApp generates behavioral datasets unavailable to competitors [2]. Brazilian regulatory requirements (Central Bank oversight, KYC/AML compliance) create structural barriers to AI-only challengers. However, fintech disruptors like Nubank leverage AI to challenge traditional banking fee structures, and AI-enabled lending platforms could compress margins on commodity banking products. AI Opportunity (1/1): 1,300+ AI models in production across 400+ applications, generative AI investment advisor, MIT CSAIL research partnership, NeoSpace AI investment, and R$500M venture fund targeting AI make Itau a leading AI adopter in global banking — not just Latin America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Itau Unibanco Q1 2026 and Q2 2026 Earnings Results — SEC 6-K filings, Investing.com, Yahoo Finance, 247wallst.com, 2026</w:t>
      </w:r>
    </w:p>
    <w:p>
      <w:pPr>
        <w:spacing w:before="20" w:after="20"/>
        <w:ind w:left="170"/>
      </w:pPr>
      <w:r>
        <w:rPr>
          <w:rFonts w:ascii="Calibri" w:hAnsi="Calibri"/>
          <w:b/>
          <w:color w:val="4A6B25"/>
          <w:sz w:val="15"/>
        </w:rPr>
        <w:t xml:space="preserve">2. </w:t>
      </w:r>
      <w:r>
        <w:rPr>
          <w:rFonts w:ascii="Calibri" w:hAnsi="Calibri"/>
          <w:b w:val="0"/>
          <w:color w:val="3A4A28"/>
          <w:sz w:val="17"/>
        </w:rPr>
        <w:t>Itau Unibanco AI Strategy and Digital Transformation — Klover.ai, Euromoney, RioTimes, RetailBankerInternational, Forbes, 2025-2026</w:t>
      </w:r>
    </w:p>
    <w:p>
      <w:pPr>
        <w:spacing w:before="20" w:after="20"/>
        <w:ind w:left="170"/>
      </w:pPr>
      <w:r>
        <w:rPr>
          <w:rFonts w:ascii="Calibri" w:hAnsi="Calibri"/>
          <w:b/>
          <w:color w:val="4A6B25"/>
          <w:sz w:val="15"/>
        </w:rPr>
        <w:t xml:space="preserve">3. </w:t>
      </w:r>
      <w:r>
        <w:rPr>
          <w:rFonts w:ascii="Calibri" w:hAnsi="Calibri"/>
          <w:b w:val="0"/>
          <w:color w:val="3A4A28"/>
          <w:sz w:val="17"/>
        </w:rPr>
        <w:t>Itau Unibanco ESG Profile — Euromoney Best ESG Bank 2025, BankTrack ESG Report, UNEP FI, 2024-2026</w:t>
      </w:r>
    </w:p>
    <w:p>
      <w:pPr>
        <w:spacing w:before="20" w:after="20"/>
        <w:ind w:left="170"/>
      </w:pPr>
      <w:r>
        <w:rPr>
          <w:rFonts w:ascii="Calibri" w:hAnsi="Calibri"/>
          <w:b/>
          <w:color w:val="4A6B25"/>
          <w:sz w:val="15"/>
        </w:rPr>
        <w:t xml:space="preserve">4. </w:t>
      </w:r>
      <w:r>
        <w:rPr>
          <w:rFonts w:ascii="Calibri" w:hAnsi="Calibri"/>
          <w:b w:val="0"/>
          <w:color w:val="3A4A28"/>
          <w:sz w:val="17"/>
        </w:rPr>
        <w:t>Itau Unibanco Governance and Controversies — Globe and Mail, SEC 20-F filings,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Itau Unibanco (ITUB) Financial Statistics — StockAnalysis.com, Yahoo Finance, TradingEconomics,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