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IVR</w:t>
      </w:r>
      <w:r>
        <w:rPr>
          <w:rFonts w:ascii="Calibri" w:hAnsi="Calibri"/>
          <w:b/>
          <w:color w:val="1A2010"/>
          <w:sz w:val="40"/>
        </w:rPr>
        <w:t xml:space="preserve">  Invesco Mortgage Capital Inc.</w:t>
      </w:r>
    </w:p>
    <w:p>
      <w:pPr>
        <w:spacing w:after="120"/>
      </w:pPr>
      <w:r>
        <w:rPr>
          <w:rFonts w:ascii="Calibri" w:hAnsi="Calibri"/>
          <w:b/>
          <w:color w:val="6E8450"/>
          <w:sz w:val="18"/>
        </w:rPr>
        <w:t>DIVIDEND SLEEVE · 2026-07-12 · Inspire: 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Mortgage REITs · NYSE · United States</w:t>
      </w:r>
    </w:p>
    <w:p>
      <w:pPr>
        <w:spacing w:after="80"/>
      </w:pPr>
      <w:r>
        <w:rPr>
          <w:rFonts w:ascii="Calibri" w:hAnsi="Calibri"/>
          <w:b w:val="0"/>
          <w:color w:val="3A4A28"/>
          <w:sz w:val="20"/>
        </w:rPr>
        <w:t>Invesco Mortgage Capital Inc. is a real estate investment trust (REIT) that primarily invests in, finances, and manages residential and commercial mortgage-backed securities and mortgage loans. Externally managed by Invesco Advisers, Inc., the company focuses on agency RMBS and is structured to qualify as a REIT for federal income tax purposes. Founded in 2008, IPO in 2009, headquartered in Atlanta, Georgia.</w:t>
      </w:r>
    </w:p>
    <w:p>
      <w:r>
        <w:rPr>
          <w:rFonts w:ascii="Calibri" w:hAnsi="Calibri"/>
          <w:b/>
          <w:color w:val="6E8450"/>
          <w:sz w:val="18"/>
        </w:rPr>
        <w:t>https://www.invescomortgagecapital.com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Invesco Mortgage Capital is an externally managed mortgage REIT with no product innovation capability. The business model — buying agency MBS with leverage — has remained fundamentally unchanged since the 2009 IPO [4]. The recent CEO transition (Kevin Collins replacing John Anzalone) was framed as continuity rather than transformation [3]. AI Deployment (0/2): No AI-powered products or AI-driven operational improvements reported. While the new CEO is described as a 'fintech and banking executive pushing deeper into AI, automation, and platform expansion,' no concrete AI deployments or measurable results exist [3]. Market Share (0/2): One of approximately 30 publicly traded mortgage REITs with no differentiated market position or category leadership [4]. Product Pipeline (0/2): No product pipeline applicable for a mortgage REIT; investment strategy adjustments are tactical, not innovative. R&amp;D Intensity (0/1): Zero R&amp;D spending as an externally managed investment vehicle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As an externally managed REIT, the company's implicit purpose is to generate income for shareholders through mortgage-backed securities investing. This provides capital to the housing market indirectly but is not an articulated mission that inspires beyond financial returns [4]. Community Impact (0/2): No charitable programs, foundation, or community investment identified. The company is externally managed by Invesco, so any community engagement occurs at the parent level, not IVR specifically [4]. Employee Retention (1/2): While the company has no direct employees (externally managed), the key officers have demonstrated notable tenure — Kevin Collins and David Lyle have both been with the company since its formation in 2009, representing 17 years of continuity at the leadership level [3]. Insider Buying (0/2): No insider buying data identified in public filings. The externally managed structure reduces alignment between management compensation and share price performance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The extreme D/E ratio of 610% (6.1x leverage) floors at zero, as expected for a mortgage REIT that uses structural leverage as its business model [1]. ROE of 7.55% scores 0.50 against the 15% target [4]. The standout positive is the very low Forward P/E of 3.97 (scoring 1.0), reflecting market skepticism about earnings sustainability [4]. Consecutive years of dividend payments at 17 (scoring 1.0 at 2x weight) provides meaningful contribution [5]. However, trailing payout ratio of 105% floors at zero, consecutive years of dividend growth estimated at 1 year scores minimally, and the 5-year dividend growth CAGR is negative (-6% annualized from a 27% cumulative decline) [5]. Q1 2026 showed a GAAP net loss of $0.28/share though earnings available for distribution remained positive at $0.55/share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Invesco Mortgage Capital is a textbook finite game player. The company exists to generate quarterly distributions from leveraged MBS positions, with no articulated purpose beyond shareholder returns. The externally managed structure inherently creates misaligned incentives — management fees are based on assets under management rather than shareholder outcomes. Strategic decisions optimize for yield maintenance rather than long-term capability building. Sinek would observe that this is a company designed to play a finite game by definition.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The company exists to generate income from leveraged mortgage securities investments. There is no vision of a better future, no articulated purpose beyond financial returns, and no mission statement that transcends 'maximize distributions to shareholders' [4]. The externally managed structure means the company's raison d'etre is to provide fee income to Invesco while distributing interest income to shareholders. This is pure finite game territory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While externally managed with no direct employees, the key officers have demonstrated exceptional longevity — Collins and Lyle have been with the company since its 2009 formation, providing 17 years of leadership continuity [3]. Board Chairman Richard King praised their instrumental contributions. However, the externally managed structure inherently limits organizational trust-building, as the workforce belongs to Invesco rather than IVR.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commentary or rival acknowledgment found in public filings. Mortgage REITs compete on yield spread management and leverage efficiency — the competitive language, when it exists, focuses on outperforming peers on book value returns rather than learning and improvement [4].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maintained essentially the same business model since its 2009 IPO — buying agency MBS with leverage and distributing the interest income [4]. No evidence of strategic pivots, adjacent market entry, or business model evolution in 17 years of operation. The company is structurally designed to do one thing and has never deviated from it.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Management optimizes for quarterly distributions and book value stability rather than long-term capability investment [1]. The externally managed structure disincentivizes bold moves — management fees flow regardless of shareholder returns, and the CEO transition was explicitly positioned as a 'continuity play' rather than a transformational moment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Invesco Mortgage Capital offers an 18% dividend yield at a price-to-book of 0.97 ($7.87 stock price vs. $8.08 book value), with a very low forward P/E of 3.97 suggesting significant earnings improvement ahead if interest rate conditions stabilize [4]. The 17-year dividend payment history and leadership continuity (Collins and Lyle since inception) provide some institutional credibility, and the transition to a new CEO with fintech expertise could modernize operations [3]. Earnings available for distribution remained stable at $0.55/share in Q1 2026 despite GAAP volatility [1].</w:t>
      </w:r>
    </w:p>
    <w:p>
      <w:pPr>
        <w:spacing w:after="120"/>
      </w:pPr>
      <w:r>
        <w:rPr>
          <w:rFonts w:ascii="Calibri" w:hAnsi="Calibri"/>
          <w:b w:val="0"/>
          <w:color w:val="3A4A28"/>
          <w:sz w:val="20"/>
        </w:rPr>
        <w:t>The bear case centers on structural fragility. The 610% D/E ratio (6.1x leverage) means small changes in MBS spreads or interest rates produce outsized swings in book value and earnings — Q1 2026's GAAP loss of $0.28/share vs. Q4 2025's $0.68 income illustrates this volatility [1]. The trailing payout ratio of 105% means the company is distributing more than it earns on a GAAP basis, which is unsustainable without spread improvement. The dividend has declined 27% over five years, and the parent company Invesco was fined $17.5M by the SEC in 2024 for misleading ESG claims, creating reputational overhang [2]. The externally managed structure creates permanent agency costs — management fees are asset-based, misaligning incentives with shareholder returns during drawdowns.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improving net interest margins on leveraged agency MBS positions, potentially restoring book value growth and supporting the 18% dividend yield</w:t>
      </w:r>
    </w:p>
    <w:p>
      <w:pPr>
        <w:spacing w:before="40" w:after="40"/>
        <w:ind w:left="283"/>
      </w:pPr>
      <w:r>
        <w:rPr>
          <w:rFonts w:ascii="Calibri" w:hAnsi="Calibri"/>
          <w:b/>
          <w:color w:val="4A6B25"/>
          <w:sz w:val="20"/>
        </w:rPr>
        <w:t xml:space="preserve">2. </w:t>
      </w:r>
      <w:r>
        <w:rPr>
          <w:rFonts w:ascii="Calibri" w:hAnsi="Calibri"/>
          <w:b w:val="0"/>
          <w:color w:val="3A4A28"/>
          <w:sz w:val="20"/>
        </w:rPr>
        <w:t>New CEO Kevin Collins executing on stated AI and automation initiatives to reduce operating costs and improve portfolio risk management efficiency</w:t>
      </w:r>
    </w:p>
    <w:p>
      <w:pPr>
        <w:spacing w:before="40" w:after="40"/>
        <w:ind w:left="283"/>
      </w:pPr>
      <w:r>
        <w:rPr>
          <w:rFonts w:ascii="Calibri" w:hAnsi="Calibri"/>
          <w:b/>
          <w:color w:val="4A6B25"/>
          <w:sz w:val="20"/>
        </w:rPr>
        <w:t xml:space="preserve">3. </w:t>
      </w:r>
      <w:r>
        <w:rPr>
          <w:rFonts w:ascii="Calibri" w:hAnsi="Calibri"/>
          <w:b w:val="0"/>
          <w:color w:val="3A4A28"/>
          <w:sz w:val="20"/>
        </w:rPr>
        <w:t>Narrowing of mortgage-backed security spreads that would simultaneously increase book value and reduce unrealized losses that drove the Q1 2026 GAAP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volatility directly impacts book value and earnings — a 100bps rate move can produce 10-15% swings in NAV at 6.1x leverage, creating risk of forced portfolio liquidation [1]</w:t>
      </w:r>
    </w:p>
    <w:p>
      <w:pPr>
        <w:spacing w:before="40" w:after="40"/>
        <w:ind w:left="283"/>
      </w:pPr>
      <w:r>
        <w:rPr>
          <w:rFonts w:ascii="Calibri" w:hAnsi="Calibri"/>
          <w:b/>
          <w:color w:val="4A6B25"/>
          <w:sz w:val="20"/>
        </w:rPr>
        <w:t xml:space="preserve">2. </w:t>
      </w:r>
      <w:r>
        <w:rPr>
          <w:rFonts w:ascii="Calibri" w:hAnsi="Calibri"/>
          <w:b w:val="0"/>
          <w:color w:val="3A4A28"/>
          <w:sz w:val="20"/>
        </w:rPr>
        <w:t>Trailing payout ratio of 105% and 5-year dividend decline of 27% suggest the current $1.44 annual dividend is not sustainably covered, creating risk of further cuts [5]</w:t>
      </w:r>
    </w:p>
    <w:p>
      <w:pPr>
        <w:spacing w:before="40" w:after="40"/>
        <w:ind w:left="283"/>
      </w:pPr>
      <w:r>
        <w:rPr>
          <w:rFonts w:ascii="Calibri" w:hAnsi="Calibri"/>
          <w:b/>
          <w:color w:val="4A6B25"/>
          <w:sz w:val="20"/>
        </w:rPr>
        <w:t xml:space="preserve">3. </w:t>
      </w:r>
      <w:r>
        <w:rPr>
          <w:rFonts w:ascii="Calibri" w:hAnsi="Calibri"/>
          <w:b w:val="0"/>
          <w:color w:val="3A4A28"/>
          <w:sz w:val="20"/>
        </w:rPr>
        <w:t>Externally managed structure creates permanent agency costs and potential conflicts of interest, as Invesco earns fees on assets regardless of shareholder returns — SEC fined the parent $17.5M for misleading ESG claims in 2024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Invesco Mortgage Capital's core business of owning and financing agency mortgage-backed securities is partially protected from AI disruption. The REIT structure, regulatory tax requirements, capital market access needs, and the underlying physical nature of real estate assets create meaningful barriers that AI cannot substitute [4]. Mortgage-backed securities trading and portfolio management could be enhanced by AI at competitors, but the fundamental business of raising capital and deploying it into agency MBS requires institutional infrastructure and regulatory compliance that AI alone cannot replicate. The primary exposure is that AI-driven portfolio optimization at rival firms could erode any informational or execution advantage IVR holds. AI Opportunity (0/1): No AI products or AI-driven revenue streams. The new CEO's stated interest in AI and automation has not yet produced measurable results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Invesco Mortgage Capital Q1 2026 Earnings Release —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SEC Enforcement Action — Invesco Advisers Fined $17.5M for Misleading ESG Claims, November 2024</w:t>
      </w:r>
    </w:p>
    <w:p>
      <w:pPr>
        <w:spacing w:before="20" w:after="20"/>
        <w:ind w:left="170"/>
      </w:pPr>
      <w:r>
        <w:rPr>
          <w:rFonts w:ascii="Calibri" w:hAnsi="Calibri"/>
          <w:b/>
          <w:color w:val="4A6B25"/>
          <w:sz w:val="15"/>
        </w:rPr>
        <w:t xml:space="preserve">3. </w:t>
      </w:r>
      <w:r>
        <w:rPr>
          <w:rFonts w:ascii="Calibri" w:hAnsi="Calibri"/>
          <w:b w:val="0"/>
          <w:color w:val="3A4A28"/>
          <w:sz w:val="17"/>
        </w:rPr>
        <w:t>Invesco Mortgage Capital CEO Transition Announcement (Collins/Lyle), StockTitan,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IVR Financial Statistics and Valuation,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IVR Dividend History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