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JPC</w:t>
      </w:r>
      <w:r>
        <w:rPr>
          <w:rFonts w:ascii="Calibri" w:hAnsi="Calibri"/>
          <w:b/>
          <w:color w:val="1A2010"/>
          <w:sz w:val="40"/>
        </w:rPr>
        <w:t xml:space="preserve">  Nuveen Preferred &amp; Income Opportunities Fund</w:t>
      </w:r>
    </w:p>
    <w:p>
      <w:pPr>
        <w:spacing w:after="120"/>
      </w:pPr>
      <w:r>
        <w:rPr>
          <w:rFonts w:ascii="Calibri" w:hAnsi="Calibri"/>
          <w:b/>
          <w:color w:val="6E8450"/>
          <w:sz w:val="18"/>
        </w:rPr>
        <w:t>DIVIDEND SLEEVE · 2026-08-08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Financials · Closed-End Fund - Fixed Income · NYSE · United States</w:t>
      </w:r>
    </w:p>
    <w:p>
      <w:pPr>
        <w:spacing w:after="80"/>
      </w:pPr>
      <w:r>
        <w:rPr>
          <w:rFonts w:ascii="Calibri" w:hAnsi="Calibri"/>
          <w:b w:val="0"/>
          <w:color w:val="3A4A28"/>
          <w:sz w:val="20"/>
        </w:rPr>
        <w:t>Nuveen Preferred &amp; Income Opportunities Fund (JPC) is a diversified closed-end management investment company managed by Nuveen Fund Advisors LLC. The fund's primary objective is high current income with a secondary objective of total return, achieved by investing at least 80% of managed assets in preferred and other income-producing securities. The fund employs leverage and invests at least 50% in investment-grade securities at purchase. Launched in 2003, JPC is one of the largest preferred securities CEFs with approximately $2.9B in market capitalization and 370M shares outstanding.</w:t>
      </w:r>
    </w:p>
    <w:p>
      <w:r>
        <w:rPr>
          <w:rFonts w:ascii="Calibri" w:hAnsi="Calibri"/>
          <w:b/>
          <w:color w:val="6E8450"/>
          <w:sz w:val="18"/>
        </w:rPr>
        <w:t>https://www.nuveen.com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JPC is a passive income vehicle — a closed-end fund that buys and holds preferred securities. There have been no product launches, business model transformations, or strategic pivots in the last five years beyond the 2023 merger with another Nuveen preferred fund, which was a consolidation rather than innovation [1]. AI Deployment (0/2): No AI deployment or strategy. Nuveen's asset management may use quantitative tools for portfolio construction, but JPC as a fund vehicle does not deploy AI in any customer-facing or operationally meaningful way. Market Share (1/2): JPC is one of the largest preferred securities CEFs by AUM at ~$2.9B market cap, making it a meaningful player in the niche preferred securities closed-end fund space [2]. Product Pipeline (0/2): No product pipeline — CEFs do not launch next-generation products. The fund may issue additional shares through its 37.5M share shelf registration [1]. R&amp;D Intensity (1/1): Nuveen's broader asset management platform invests in portfolio analytics and research capabilities, scored charitably at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Nuveen's purpose as an asset manager — helping clients invest for the long-term with responsible investing principles — is clear but not distinctive. The parent company (TIAA-Nuveen) has roots in serving educators and non-profit workers, which adds purposefulness, but JPC as a specific fund vehicle does not independently articulate a mission beyond its investment mandate of high current income [2]. Community Impact (1/2): TIAA-Nuveen has a strong responsible investing heritage and publishes ESG-integrated strategies across its platform. However, JPC itself is a preferred securities fund without specific community impact programs or charitable initiatives. Employee Retention (1/2): As a fund managed by Nuveen's investment team, employee data is not specific to JPC. Nuveen's portfolio management teams generally have long tenures in the asset management industry. Insider Buying (0/2): No insider buying data available for JPC. As a closed-end fund, there are no corporate insiders in the traditional sense — the fund is managed by Nuveen's professional investment team.</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(Dividend sleeve, 12 weight units, CEF-adjusted). CEFs operate fundamentally differently from operating companies — revenue is investment income, profit margin reflects fee structure rather than business efficiency, and leverage is a strategic tool for yield enhancement. D/E estimated at ~100% reflecting typical CEF leverage of 30-40% on assets, scoring 0.87 [1][3]. ROE of approximately 8.7% ($252M net income on ~$2.9B equity base) scores 0.58 [3]. Revenue growth YoY of 165% reflects interest rate environment changes rather than organic growth, scoring 1.0 [3]. Forward P/E of approximately 10x is well below the 20 target, scoring 1.0 [3]. Profit margin of 93.9% (net income/revenue for a CEF) scores 1.0 [3]. Payout ratio of ~97% is near the 100% floor, scoring 0.04. Consecutive years paid ~23 years (since 2003 inception) scores 1.0 at 2x weight. Consecutive years growth: 0 (distribution restructured post-2023 merger). 5yr dividend growth CAGR: negative (cuts). Stock price $7.73, daily volume ~1.4M shares = $10.8M daily dollar volume, passing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JPC as a closed-end fund is inherently a finite game construct — it exists to generate income for shareholders through leveraged preferred securities investing. There is no Just Cause, no vision of a better future, and no organizational culture to evaluate. The fund is managed by Nuveen's professional investment team under a fixed investment mandate. Sinek's framework is designed for operating companies with employees, culture, and strategic agency — a CEF lacks these characteristics by design.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JPC has no Just Cause. It is a financial vehicle designed to generate high current income through leveraged preferred securities investing [2]. The fund's investment mandate is purely financial — there is no vision of a better future, no service-oriented purpose, and no cause that inspires sacrifice. While TIAA-Nuveen's broader mission of serving educators has historical significance, JPC as a specific fund does not inherit or advance that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Nuveen's portfolio management teams are generally stable with experienced professionals managing the preferred securities strategy. The fund has been continuously managed since 2003, and the 2023 merger with another Nuveen preferred fund was executed smoothly [1]. However, as a CEF, there are no employees in the traditional sense — the fund is managed by Nuveen's investment team, making Sinek's Circle of Safety concept largely inapplicable.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mindset evaluation — JPC is a passive investment vehicle that does not compete in the traditional sense. The fund competes for investor capital against other preferred CEFs (PFF, PGX, FPF) but does not articulate a competitive philosophy.</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JPC operates under a fixed investment mandate — at least 80% in preferred securities with leverage. The fund cannot pivot its business model, enter new markets, or reinvent itself [2]. The 2023 merger with another Nuveen fund was consolidation, not transformation. CEFs are structurally rigid by design.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Nuveen's management has maintained JPC's leveraged preferred strategy through multiple interest rate cycles, including the sharp 2022-2023 rate hiking period that pressured preferred securities valuations. Continuing to employ leverage during rising rates required conviction in the long-term strategy, though it also reflected the fund's structural constraints rather than a courageous choice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JPC offers a 9.7% distribution yield paid monthly, supported by investment income of $268.65M in fiscal 2025 (up 165% YoY) as higher interest rates boosted preferred securities income [1][3]. Trading at approximately NAV ($7.73 market vs ~$7.85 NAV), the fund provides institutional-quality preferred securities exposure with professional Nuveen management. The P/E of 10x and beta of 0.71 indicate defensive characteristics, and the fund has paid distributions continuously since its 2003 inception. With 370M shares outstanding and $2.9B market cap, JPC offers ample liquidity for income-focused investors.</w:t>
      </w:r>
    </w:p>
    <w:p>
      <w:pPr>
        <w:spacing w:after="120"/>
      </w:pPr>
      <w:r>
        <w:rPr>
          <w:rFonts w:ascii="Calibri" w:hAnsi="Calibri"/>
          <w:b w:val="0"/>
          <w:color w:val="3A4A28"/>
          <w:sz w:val="20"/>
        </w:rPr>
        <w:t>The payout ratio of ~97% leaves virtually no margin of safety for the distribution — any decline in portfolio income from credit losses, rate changes, or preferred security calls could force another distribution cut [3]. The fund's 5-year dividend growth CAGR is negative, reflecting the 2023 distribution restructuring post-merger. Leverage amplifies both returns and losses — in a credit stress scenario, the fund's borrowing costs would rise while preferred securities values decline, creating a double squeeze. CEFs are structurally limited vehicles with no ability to innovate, diversify, or adapt their business model. Interest rate risk is asymmetric: while higher rates boosted income, they also depressed NAV, and any rate decline would reduce future income on reinvested proceeds. The 37.5M share shelf registration could dilute existing shareholders if shares are issued below NAV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Stable-to-declining interest rate environment would support preferred securities valuations and NAV recovery while maintaining elevated income from the existing portfolio's locked-in higher yields</w:t>
      </w:r>
    </w:p>
    <w:p>
      <w:pPr>
        <w:spacing w:before="40" w:after="40"/>
        <w:ind w:left="283"/>
      </w:pPr>
      <w:r>
        <w:rPr>
          <w:rFonts w:ascii="Calibri" w:hAnsi="Calibri"/>
          <w:b/>
          <w:color w:val="4A6B25"/>
          <w:sz w:val="20"/>
        </w:rPr>
        <w:t xml:space="preserve">2. </w:t>
      </w:r>
      <w:r>
        <w:rPr>
          <w:rFonts w:ascii="Calibri" w:hAnsi="Calibri"/>
          <w:b w:val="0"/>
          <w:color w:val="3A4A28"/>
          <w:sz w:val="20"/>
        </w:rPr>
        <w:t>Credit quality improvement in the banking sector (JPC's largest exposure) could reduce credit spreads on preferred securities, boosting both income and total return</w:t>
      </w:r>
    </w:p>
    <w:p>
      <w:pPr>
        <w:spacing w:before="40" w:after="40"/>
        <w:ind w:left="283"/>
      </w:pPr>
      <w:r>
        <w:rPr>
          <w:rFonts w:ascii="Calibri" w:hAnsi="Calibri"/>
          <w:b/>
          <w:color w:val="4A6B25"/>
          <w:sz w:val="20"/>
        </w:rPr>
        <w:t xml:space="preserve">3. </w:t>
      </w:r>
      <w:r>
        <w:rPr>
          <w:rFonts w:ascii="Calibri" w:hAnsi="Calibri"/>
          <w:b w:val="0"/>
          <w:color w:val="3A4A28"/>
          <w:sz w:val="20"/>
        </w:rPr>
        <w:t>CEF discount could narrow to premium as income-seeking investors rotate into high-yielding preferred funds in a lower-rate environment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Payout ratio of ~97% provides no buffer for distribution maintenance — any income decline from preferred calls, credit losses, or rising leverage costs would likely trigger a distribution cut [3]</w:t>
      </w:r>
    </w:p>
    <w:p>
      <w:pPr>
        <w:spacing w:before="40" w:after="40"/>
        <w:ind w:left="283"/>
      </w:pPr>
      <w:r>
        <w:rPr>
          <w:rFonts w:ascii="Calibri" w:hAnsi="Calibri"/>
          <w:b/>
          <w:color w:val="4A6B25"/>
          <w:sz w:val="20"/>
        </w:rPr>
        <w:t xml:space="preserve">2. </w:t>
      </w:r>
      <w:r>
        <w:rPr>
          <w:rFonts w:ascii="Calibri" w:hAnsi="Calibri"/>
          <w:b w:val="0"/>
          <w:color w:val="3A4A28"/>
          <w:sz w:val="20"/>
        </w:rPr>
        <w:t>Leverage amplifies downside risk in credit stress scenarios — the 2022-2023 rate cycle demonstrated NAV vulnerability when borrowing costs rise while preferred securities values decline simultaneously</w:t>
      </w:r>
    </w:p>
    <w:p>
      <w:pPr>
        <w:spacing w:before="40" w:after="40"/>
        <w:ind w:left="283"/>
      </w:pPr>
      <w:r>
        <w:rPr>
          <w:rFonts w:ascii="Calibri" w:hAnsi="Calibri"/>
          <w:b/>
          <w:color w:val="4A6B25"/>
          <w:sz w:val="20"/>
        </w:rPr>
        <w:t xml:space="preserve">3. </w:t>
      </w:r>
      <w:r>
        <w:rPr>
          <w:rFonts w:ascii="Calibri" w:hAnsi="Calibri"/>
          <w:b w:val="0"/>
          <w:color w:val="3A4A28"/>
          <w:sz w:val="20"/>
        </w:rPr>
        <w:t>The 37.5M share shelf registration enables dilutive issuance, and the fund's structural inability to adapt its investment mandate limits long-term competitiveness against more flexible income strategies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JPC invests in preferred securities issued primarily by banks, utilities, insurance companies, and other financial institutions — physical-world businesses whose preferred dividends are backed by tangible assets and regulated balance sheets [2]. AI cannot substitute for the underlying businesses that issue preferred securities, and the fund's income stream is contractual in nature. However, AI-driven algorithmic trading could compress CEF premiums/discounts and reduce the informational advantage of active CEF management. The broader asset management industry faces moderate AI disruption as passive and AI-managed strategies gain share. AI Opportunity (1/1): Nuveen's platform can leverage AI for credit analysis, portfolio optimization, and risk management across its preferred securities holdings, generating marginal operational efficiencies in portfolio construction.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Nuveen JPC 424B2 Prospectus Supplement — 37.5M Share Shelf Registration, NAV $7.85, June 2026</w:t>
      </w:r>
    </w:p>
    <w:p>
      <w:pPr>
        <w:spacing w:before="20" w:after="20"/>
        <w:ind w:left="170"/>
      </w:pPr>
      <w:r>
        <w:rPr>
          <w:rFonts w:ascii="Calibri" w:hAnsi="Calibri"/>
          <w:b/>
          <w:color w:val="4A6B25"/>
          <w:sz w:val="15"/>
        </w:rPr>
        <w:t xml:space="preserve">2. </w:t>
      </w:r>
      <w:r>
        <w:rPr>
          <w:rFonts w:ascii="Calibri" w:hAnsi="Calibri"/>
          <w:b w:val="0"/>
          <w:color w:val="3A4A28"/>
          <w:sz w:val="17"/>
        </w:rPr>
        <w:t>Nuveen Preferred &amp; Income Opportunities Fund — Fund Overview, Investment Strategy, 80% Preferred Mandate; nuveen.com 2026</w:t>
      </w:r>
    </w:p>
    <w:p>
      <w:pPr>
        <w:spacing w:before="20" w:after="20"/>
        <w:ind w:left="170"/>
      </w:pPr>
      <w:r>
        <w:rPr>
          <w:rFonts w:ascii="Calibri" w:hAnsi="Calibri"/>
          <w:b/>
          <w:color w:val="4A6B25"/>
          <w:sz w:val="15"/>
        </w:rPr>
        <w:t xml:space="preserve">3. </w:t>
      </w:r>
      <w:r>
        <w:rPr>
          <w:rFonts w:ascii="Calibri" w:hAnsi="Calibri"/>
          <w:b w:val="0"/>
          <w:color w:val="3A4A28"/>
          <w:sz w:val="17"/>
        </w:rPr>
        <w:t>StockAnalysis — JPC Financial Data: Price $7.73, P/E 10.0, EPS $0.77, Revenue $268.65M, Dividend Yield 9.70%,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