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KBR</w:t>
      </w:r>
      <w:r>
        <w:rPr>
          <w:rFonts w:ascii="Calibri" w:hAnsi="Calibri"/>
          <w:b/>
          <w:color w:val="1A2010"/>
          <w:sz w:val="40"/>
        </w:rPr>
        <w:t xml:space="preserve">  KBR, Inc.</w:t>
      </w:r>
    </w:p>
    <w:p>
      <w:pPr>
        <w:spacing w:after="120"/>
      </w:pPr>
      <w:r>
        <w:rPr>
          <w:rFonts w:ascii="Calibri" w:hAnsi="Calibri"/>
          <w:b/>
          <w:color w:val="6E8450"/>
          <w:sz w:val="18"/>
        </w:rPr>
        <w:t>GROWTH SLEEVE · 2026-07-28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KBR is a global engineering, technology, and services company providing science, technology, and engineering solutions to governments and commercial customers. It operates through Mission Technology Solutions (MTS) focused on defense, intelligence, space, and the Golden Dome missile defense initiative, and Sustainable Technology Solutions (STS) providing proprietary process technologies for ammonia, petrochemicals, and decarbonization. The company plans to spin off MTS as an independent entity on January 4, 2027. Founded in 1901, headquartered in Houston, Texas.</w:t>
      </w:r>
    </w:p>
    <w:p>
      <w:r>
        <w:rPr>
          <w:rFonts w:ascii="Calibri" w:hAnsi="Calibri"/>
          <w:b/>
          <w:color w:val="6E8450"/>
          <w:sz w:val="18"/>
        </w:rPr>
        <w:t>36,000 Employees · https://www.kbr.com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KBR has successfully transformed from a Halliburton-era construction company to a technology-focused defense and sustainability services firm, growing revenue from $6.56B (2022) to $7.69B TTM [1]. Q1 2026 revenue dipped 5% YoY to $1.923B due to government contract award timing, but adjusted EBITDA margins expanded to 13.1%, and STS delivered 21.9% EBITDA margins demonstrating high-value proprietary technology [1]. The planned MTS spin-off (January 2027) shows strategic clarity. AI Deployment (1/2): KBR's labs act as a 'technology accelerator to simulate and test new architectures, support AI innovation, and enable vendor-agnostic algorithm development' for defense clients [2]. The company has appointed dedicated Golden Dome strategic leadership and fast-tracked IRAD investment in digital engineering, prototyping, and modeling and simulation. However, no specific AI product revenue figures have been disclosed. Market Share (2/2): KBR holds $23.2B in total backlog and options, with $18.5B in MTS alone, and STS at $4.7B [1]. The company is a leading government services contractor with deep institutional relationships in defense, intelligence, and space, and plans to bid $25B+ in 2026 [1]. Product Pipeline (1/2): Golden Dome missile defense initiative with named strategic leadership team positions KBR for a major defense modernization program [2]. STS expects mid-teens YoY revenue growth. MTS spin-off provides structural clarity. But specific new product launches with revenue timelines beyond existing contracts are limited. R&amp;D Intensity (1/1): IRAD spending has 'increased significantly' with KBR fast-tracking investment in digital engineering, prototyping, modeling and simulation, and classified AI laboratories — well above engineering services industry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KBR's stated purpose — 'Delivering Solutions, Changing the World' — is aspirational but generic, interchangeable with any large engineering firm [3]. The company's work supporting national defense, space exploration, and decarbonization has genuine societal impact, but the mission statement lacks the specificity to shape strategic decisions differently from Leidos, SAIC, or Booz Allen Hamilton. Community Impact (1/2): KBR employs 36,000 people globally supporting critical national security and sustainability missions. The company achieved carbon neutrality in 2019, linked ESG objectives to executive compensation starting 2021, and maintains comprehensive environmental and social governance policies [3]. No distinctive charitable foundation was identified. Employee Retention (1/2): Glassdoor rating of 4.0/5.0 with work-life balance at 4.3 and culture/values at 4.1 suggests an above-average workplace for the defense contractor sector [2]. Multiple reviews describe supportive team environments, though some cite bureaucratic processes and slow innovation. CEO Stuart Bradie's tenure since 2014 provides leadership stability. Insider Buying (0/2): No evidence of meaningful net insider open-market buying by CEO Bradie or other executives was identified in the last 12 months. Equity compensation grants demonstrate alignment but do not constitute voluntary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KBR trades at a compelling 8.97x forward P/E with an estimated PEG ratio near 0.50, reflecting significant value relative to expected earnings growth to $3.87-4.22 per share in FY2026 [1][4]. ROE of approximately 24% is strong for the government services sector. D/E of 159% has improved from 192% through debt reduction, with net leverage at a manageable 2.3x trailing EBITDA [1]. Profit margin of 5.33% is thin but typical for engineering/government services, with margin expansion demonstrated as adjusted EBITDA margins improved to 13.1% [1]. Revenue growth TTM of -2.8% reflects lumpy contract award timing, but 5-year CAGR of ~5.9% shows steady long-term growth, and 2026 guidance of $7.9-8.36B implies mid-single-digit growth [1]. Operating cash flow of $110M in Q1 (up 21% YoY) and TTM FCF covering the dividend at a 21% payout ratio demonstrate strong cash generation [1]. Liquidity floor cleared: 1.3M avg volume x $36.82 = $47.8M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KBR has operated continuously since 1901 — a 125-year track record demonstrating enduring relevance through multiple technological eras, from construction to oil services to defense technology. The planned MTS spin-off and Golden Dome strategic positioning show forward-looking leadership. However, the bureaucratic culture described by employees and the generic mission statement limit KBR's infinite game potential compared to purpose-driven defense peers.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KBR's 125-year operating history — from Kellogg (1901) through Brown &amp; Root, Halliburton integration, and transformation into an independent defense technology company — demonstrates a cause that has endured through multiple eras, leadership transitions, and industry disruptions [1]. The company's work supporting national defense, space exploration, and decarbonization serves genuinely important societal needs. However, the formal mission ('Delivering Solutions, Changing the World') is generic and doesn't differentiate from Leidos, SAIC, or Booz Allen Hamilton. The cause is real and validated by longevity, but not distinctively articulated.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4.0/5.0 with strong work-life balance (4.3) and culture/values (4.1) indicates a reasonably trusting workplace for the defense services sector [2]. CEO Stuart Bradie's leadership since 2014 provides 12 years of stable direction. Multiple reviews describe good culture and supportive teams. However, some reviews cite bureaucratic processes, slow innovation, and disconnected upper management — suggesting adequate but not exceptional psychological safety across the 36,000-employee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KBR's planned MTS spin-off explicitly acknowledges that pure-play competitors (Leidos, SAIC in defense services; dedicated technology firms in engineering) have structural advantages over a conglomerate [1]. This strategic self-awareness — willing to restructure the entire company to compete more effectively — reflects a learning-oriented approach consistent with Sinek's worthy rivals framework. The $25B+ bidding pipeline for 2026 shows competitive improvement through self-transformation rather than adversarial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KBR has undergone meaningful transformation — from a Halliburton oil services subsidiary to an independent defense technology and sustainable engineering company, now planning a further spin-off of MTS in January 2027 [1]. The pivot from construction to technology-enabled government services represents genuine strategic evolution. Carbon neutrality achievement (2019) and expansion into decarbonization services show willingness to evolve. However, these transformations occurred over decades as incremental adaptations rather than single transformative leaps.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KBR has increased IRAD investment significantly during a period of revenue decline (-2.8% YoY), fast-tracking spending on digital engineering, AI labs, and classified facilities — choosing long-term capability over short-term earnings optimization [2]. The Golden Dome strategic positioning and MTS spin-off demonstrate leadership willing to make structural bets. However, the company's risk-averse and bureaucratic culture (noted in Glassdoor reviews) and conventional spin-off structure temper the courage assessment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KBR trades at a compelling 8.97x forward P/E with $23.2B in total backlog providing exceptional revenue visibility, and management reaffirmed FY2026 guidance of $7.9-8.36B revenue with adjusted EPS of $3.87-4.22 [1]. Q1 2026 demonstrated improving profitability — adjusted EBITDA of $251M at 13.1% margin (up from prior year) with operating cash flow up 21% to $110M, despite a 5% revenue dip from contract timing [1]. The planned MTS spin-off (January 2027) should unlock the conglomerate discount, creating two focused entities with clearer investment profiles. KBR's strategic positioning on the Golden Dome missile defense initiative with dedicated leadership and significantly increased IRAD investment positions the company at the center of a generational defense modernization cycle [2]. Analysts maintain a Buy consensus with a $45.86 target (25% upside), and the 1.79% dividend yield provides modest income with a conservative 21% payout ratio [4].</w:t>
      </w:r>
    </w:p>
    <w:p>
      <w:pPr>
        <w:spacing w:after="120"/>
      </w:pPr>
      <w:r>
        <w:rPr>
          <w:rFonts w:ascii="Calibri" w:hAnsi="Calibri"/>
          <w:b w:val="0"/>
          <w:color w:val="3A4A28"/>
          <w:sz w:val="20"/>
        </w:rPr>
        <w:t>The bear case centers on revenue softness, leverage, and spin-off execution risk. Q1 2026 revenue declined 5% YoY to $1.923B, with MTS revenue down 6% and STS down 2%, reflecting government award timing volatility that could persist through 2026 [1]. D/E of 159% with $2.2B net debt creates interest expense sensitivity — while improved from 192%, the leverage remains above-average for government services [4]. Profit margin of 5.33% is thin, leaving minimal room for execution missteps or contract cost overruns. The MTS spin-off creates near-term uncertainty about organizational structure, stranded costs, talent retention, and which entity inherits specific contracts and capabilities. MTS book-to-bill of only 1.0x (flat) suggests no growth in the defense backlog — potential government spending prioritization shifts (DOGE-driven efficiency mandates) could pressure award volumes [1]. The stock has declined 29% from its 52-week high of $52.23, reflecting some of this uncertainty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MTS spin-off on January 4, 2027 expected to unlock conglomerate discount, creating a focused $5.3B defense/intelligence pure-play with $18.5B backlog and a high-margin STS technology company [1]</w:t>
      </w:r>
    </w:p>
    <w:p>
      <w:pPr>
        <w:spacing w:before="40" w:after="40"/>
        <w:ind w:left="283"/>
      </w:pPr>
      <w:r>
        <w:rPr>
          <w:rFonts w:ascii="Calibri" w:hAnsi="Calibri"/>
          <w:b/>
          <w:color w:val="4A6B25"/>
          <w:sz w:val="20"/>
        </w:rPr>
        <w:t xml:space="preserve">2. </w:t>
      </w:r>
      <w:r>
        <w:rPr>
          <w:rFonts w:ascii="Calibri" w:hAnsi="Calibri"/>
          <w:b w:val="0"/>
          <w:color w:val="3A4A28"/>
          <w:sz w:val="20"/>
        </w:rPr>
        <w:t>Golden Dome missile defense initiative positioning with dedicated strategic leadership team could drive significant new contract awards as the program scales [2]</w:t>
      </w:r>
    </w:p>
    <w:p>
      <w:pPr>
        <w:spacing w:before="40" w:after="40"/>
        <w:ind w:left="283"/>
      </w:pPr>
      <w:r>
        <w:rPr>
          <w:rFonts w:ascii="Calibri" w:hAnsi="Calibri"/>
          <w:b/>
          <w:color w:val="4A6B25"/>
          <w:sz w:val="20"/>
        </w:rPr>
        <w:t xml:space="preserve">3. </w:t>
      </w:r>
      <w:r>
        <w:rPr>
          <w:rFonts w:ascii="Calibri" w:hAnsi="Calibri"/>
          <w:b w:val="0"/>
          <w:color w:val="3A4A28"/>
          <w:sz w:val="20"/>
        </w:rPr>
        <w:t>STS segment expected to deliver mid-teens YoY revenue growth with 21.9% EBITDA margins, driven by proprietary ammonia, petrochemical, and decarbonization technology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contract award timing volatility — Q1 2026 revenue declined 5% YoY, and MTS book-to-bill of 1.0x suggests flat backlog growth; DOGE-driven efficiency mandates could pressure government spending on services contracts [1]</w:t>
      </w:r>
    </w:p>
    <w:p>
      <w:pPr>
        <w:spacing w:before="40" w:after="40"/>
        <w:ind w:left="283"/>
      </w:pPr>
      <w:r>
        <w:rPr>
          <w:rFonts w:ascii="Calibri" w:hAnsi="Calibri"/>
          <w:b/>
          <w:color w:val="4A6B25"/>
          <w:sz w:val="20"/>
        </w:rPr>
        <w:t xml:space="preserve">2. </w:t>
      </w:r>
      <w:r>
        <w:rPr>
          <w:rFonts w:ascii="Calibri" w:hAnsi="Calibri"/>
          <w:b w:val="0"/>
          <w:color w:val="3A4A28"/>
          <w:sz w:val="20"/>
        </w:rPr>
        <w:t>D/E of 159% with $2.2B net debt creates financial risk if revenue softness extends, and the spin-off could strand costs or debt on the wrong entity [1][4]</w:t>
      </w:r>
    </w:p>
    <w:p>
      <w:pPr>
        <w:spacing w:before="40" w:after="40"/>
        <w:ind w:left="283"/>
      </w:pPr>
      <w:r>
        <w:rPr>
          <w:rFonts w:ascii="Calibri" w:hAnsi="Calibri"/>
          <w:b/>
          <w:color w:val="4A6B25"/>
          <w:sz w:val="20"/>
        </w:rPr>
        <w:t xml:space="preserve">3. </w:t>
      </w:r>
      <w:r>
        <w:rPr>
          <w:rFonts w:ascii="Calibri" w:hAnsi="Calibri"/>
          <w:b w:val="0"/>
          <w:color w:val="3A4A28"/>
          <w:sz w:val="20"/>
        </w:rPr>
        <w:t>MTS spin-off execution risk — organizational restructuring involving 36,000 employees could cause talent attrition, customer uncertainty, and stranded costs during the transition to two independent companies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KBR's core business — defense and intelligence services, space programs, and sustainable technology solutions — is structurally immune to AI disruption [1][2]. Government contracts require security clearances, classified facilities, and deep institutional trust relationships that create insurmountable barriers for AI substitution. Physical engineering, program management, facility operations, and on-site mission support involve hands-on work that AI cannot replace. The Golden Dome missile defense initiative and increased IRAD investment in digital engineering, AI algorithm development, and classified laboratories position KBR as an AI ENABLER in defense, not an AI target — the company builds AI capabilities for the Department of Defense rather than being threatened by them [2]. The $23.2B backlog is protected by long-term contract structures and high switching costs. AI Opportunity (1/1): KBR generates quantifiable revenue from AI-adjacent services through digitally-enabled defense solutions, AI algorithm development, modeling and simulation, and predictive analytics for intelligence clients — accelerated by the Golden Dome initiative and increased IRAD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KBR Q1 2026 Earnings Release — $1.923B revenue (-5% YoY), $251M adjusted EBITDA (13.1% margin), $23.2B backlog, 1.1x B2B, FY2026 guidance reaffirmed, May 5, 2026</w:t>
      </w:r>
    </w:p>
    <w:p>
      <w:pPr>
        <w:spacing w:before="20" w:after="20"/>
        <w:ind w:left="170"/>
      </w:pPr>
      <w:r>
        <w:rPr>
          <w:rFonts w:ascii="Calibri" w:hAnsi="Calibri"/>
          <w:b/>
          <w:color w:val="4A6B25"/>
          <w:sz w:val="15"/>
        </w:rPr>
        <w:t xml:space="preserve">2. </w:t>
      </w:r>
      <w:r>
        <w:rPr>
          <w:rFonts w:ascii="Calibri" w:hAnsi="Calibri"/>
          <w:b w:val="0"/>
          <w:color w:val="3A4A28"/>
          <w:sz w:val="17"/>
        </w:rPr>
        <w:t>KBR Golden Dome Strategic Leadership and IRAD Investment — AI labs, digital engineering, classified facilities, defense technology capabilities, WashingtonExec/GovConWire, July 2026</w:t>
      </w:r>
    </w:p>
    <w:p>
      <w:pPr>
        <w:spacing w:before="20" w:after="20"/>
        <w:ind w:left="170"/>
      </w:pPr>
      <w:r>
        <w:rPr>
          <w:rFonts w:ascii="Calibri" w:hAnsi="Calibri"/>
          <w:b/>
          <w:color w:val="4A6B25"/>
          <w:sz w:val="15"/>
        </w:rPr>
        <w:t xml:space="preserve">3. </w:t>
      </w:r>
      <w:r>
        <w:rPr>
          <w:rFonts w:ascii="Calibri" w:hAnsi="Calibri"/>
          <w:b w:val="0"/>
          <w:color w:val="3A4A28"/>
          <w:sz w:val="17"/>
        </w:rPr>
        <w:t>KBR ESG Policy and Corporate Website — carbon neutrality, ESG-linked executive compensation, sustainability strategy,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KBR Key Statistics, $36.82 price, $4.67B market cap, 1.3M avg volume, Forward P/E 8.97,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