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KMI</w:t>
      </w:r>
      <w:r>
        <w:rPr>
          <w:rFonts w:ascii="Calibri" w:hAnsi="Calibri"/>
          <w:b/>
          <w:color w:val="1A2010"/>
          <w:sz w:val="40"/>
        </w:rPr>
        <w:t xml:space="preserve">  Kinder Morgan, Inc.</w:t>
      </w:r>
    </w:p>
    <w:p>
      <w:pPr>
        <w:spacing w:after="120"/>
      </w:pPr>
      <w:r>
        <w:rPr>
          <w:rFonts w:ascii="Calibri" w:hAnsi="Calibri"/>
          <w:b/>
          <w:color w:val="6E8450"/>
          <w:sz w:val="18"/>
        </w:rPr>
        <w:t>DIVIDEND SLEEVE · 2026-08-13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Kinder Morgan, Inc. is one of the largest energy infrastructure companies in North America, owning and operating approximately 83,000 miles of pipelines, 141 terminals, and 700 billion cubic feet of working natural gas storage capacity. The company transports approximately 40% of the natural gas consumed in the United States. Its business segments include Natural Gas Pipelines, Products Pipelines, Terminals, and CO2. Founded by Richard Kinder, the company is known for its capital discipline philosophy. Headquartered in Houston, Texas.</w:t>
      </w:r>
    </w:p>
    <w:p>
      <w:r>
        <w:rPr>
          <w:rFonts w:ascii="Calibri" w:hAnsi="Calibri"/>
          <w:b/>
          <w:color w:val="6E8450"/>
          <w:sz w:val="18"/>
        </w:rPr>
        <w:t>11,000 Employees · https://www.kindermorgan.com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Kinder Morgan has expanded its pipeline capacity to serve growing AI data center demand, with a record project backlog exceeding $10 billion [1]. Natural gas transport volumes rose 7% and gathering volumes jumped 26% in Q2 2026, led by the Haynesville basin [1]. These represent successful execution of capacity expansion rather than transformative business model pivots. AI Deployment (1/2): CFO David Michels has articulated a strategic approach to AI, prioritizing 'incremental revenue generation' over generic cost-cutting and avoiding a 'spray-and-pray' approach [2]. The company is deploying AI for pipeline integrity monitoring and operational efficiency, though no specific revenue or savings figures have been disclosed. Market Share (2/2): Kinder Morgan transports approximately 40% of the natural gas consumed in the United States, a dominant position in critical energy infrastructure [2]. This infrastructure is irreplaceable — it took decades and billions of dollars to build and is protected by extensive permitting and right-of-way barriers. Product Pipeline (1/2): Record $10+ billion project backlog with specific expansion projects underway to serve growing natural gas demand from AI data centers, LNG export facilities, and industrial users [1]. Management raised full-year 2026 guidance citing backlog visibility. R&amp;D Intensity (0/1): Midstream companies do not maintain traditional R&amp;D operations; capital expenditure focuses on pipeline expansion and maintenance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Kinder Morgan's purpose centers on safely and reliably transporting energy across North America — a functional and clear mission that serves a critical infrastructure need but does not articulate a deeper vision of a better future [2]. The company's messaging focuses on operational excellence and capital discipline rather than transformative purpose. Community Impact (1/2): KMI reports paying substantial property taxes in communities along its 83,000-mile network and maintains community engagement programs on energy and environmental justice [3]. Renewable investments include diesel hubs in California, a feedstock hub in Louisiana, and a growing renewable natural gas platform [3]. Standard for the industry but not distinctive. Employee Retention (0/2): No specific employee retention data, tenure statistics, or voluntary turnover metrics identified. Insider Buying (1/2): Founder Richard Kinder is legendary for his ownership alignment — he famously took a $1 annual salary and maintains one of the largest individual insider positions in the S&amp;P 500 [2]. While specific recent net buying data was not identified, his sustained significant equity ownership represents meaningful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100% reflects the capital-intensive nature of pipeline infrastructure and scores above the 70% target but well within the scoring range [4]. ROE of 9.83% is below the 15% target but consistent with the midstream sector's regulated-return business model [4]. Revenue growth of approximately 7% YoY in 2026 approaches the 10% target, driven by rising natural gas demand and higher transport volumes [1]. Five-year revenue CAGR of approximately 2% lags the target, partly due to 2022 natural gas price spikes that inflated the base year. Forward P/E of 20.76 is essentially at the 20 target [4]. Profit margin of 18.04% approaches the 20% target [4]. Dividend profile: 11 consecutive years of payments and 9 consecutive years of growth approach the 10-year targets, with payout ratio of 76% well above the 40% target — elevated but manageable for a fee-based midstream company with predictable cash flows [4]. Five-year dividend growth CAGR of 2.2% trails the 6% target as KMI prioritizes debt reduction and internal funding after the 2015 dividend cut.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Kinder Morgan demonstrates meaningful infinite game characteristics anchored by the 2015 dividend cut — a profoundly courageous decision that sacrificed 75% of near-term income to fund growth internally and reduce debt. Richard Kinder's philosophy of extreme capital discipline, maintained over two decades, reflects genuine long-term orientation. CEO Kim Dang, a 20-year company veteran, provides leadership continuity. However, the Just Cause remains underdeveloped — energy infrastructure is critical but not inspirational in the Sinek sense — and the company has not demonstrated the kind of transformative reinvention that characterizes existentially flexible organizations.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Kinder Morgan's purpose of safely and reliably transporting energy serves a critical national infrastructure function, and the company's role in enabling 40% of U.S. natural gas consumption connects to energy security and economic activity [2]. However, this purpose describes what the company does rather than articulating a vision of a future state. It is not so bold that it can never be fully achieved. The 'Kinder philosophy' of capital discipline is a business methodology,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Kinder Morgan benefits from exceptional leadership continuity: CEO Kim Dang has been with the company for over 20 years, and the senior leadership team including President Tom Martin and CFO David Michels is highly experienced and stable [2]. The company maintains approximately 11,000 employees across its pipeline network. Leadership is 'highly regarded for transparent communication with Wall Street' [2]. However, no specific employee retention data, cultural indicators, or evidence of exceptional trust practices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Kinder Morgan's competitive language focuses on its own infrastructure advantages — 40% market share in natural gas transport, 83,000 miles of pipelines — rather than learning from rivals' strengths [2]. The midstream sector involves some collaborative elements (interconnecting pipelines, shared infrastructure) but no evidence of management explicitly acknowledging competitors' strengths or framing competition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Kinder Morgan has demonstrated meaningful strategic adaptation: consolidating from MLP structure to C-Corporation in 2014, slashing the dividend by 75% in 2015 to fund internal growth and debt reduction, and now pivoting to serve AI data center demand as a growth catalyst [1][2]. Each represented a significant business model evolution. However, the core business — owning and operating pipeline infrastructure — has remained fundamentally the same for decades. The adaptations were structural and financial rather than the kind of business-destroying transformation Sinek envisions.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2015 dividend cut — reducing payments by 75% from $2.00 to $0.50 per share — is a textbook example of Sinek's 'courage to lead' [2]. KMI's board sacrificed massive near-term shareholder income to fund growth internally and reduce leverage, absorbing enormous investor backlash (the stock fell 60% from its peak) for a decision that was validated by subsequent financial performance. The company went from $42 billion in net debt to a manageable $31 billion, rebuilt the dividend from $0.50 to $1.17, and now has a record $10+ billion project backlog [1]. Richard Kinder's $1 salary aligned his compensation with shareholders' long-term outcomes rather than short-term earnings targets. This pattern of choosing financial discipline over market approval across multiple cycles is exceptional.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Kinder Morgan delivered a record Q2 2026 with revenue of $4.48 billion (beating $4.19B consensus), adjusted EBITDA up 12% YoY, and adjusted EPS of $0.37 (beating $0.32 estimate), up 32% YoY [1]. Management raised full-year guidance to at least 5% above the $8.6 billion EBITDA budget and at least 11% above the $1.36 EPS budget. The company benefits from a powerful AI tailwind: natural gas transport volumes rose 7% and gathering volumes jumped 26% as data centers drive electricity demand [1]. KMI's asset base — 83,000 miles of pipelines transporting 40% of U.S. natural gas — is irreplaceable physical infrastructure protected by regulatory barriers and decades of capital investment [2]. The balance sheet has been significantly delevered from $42B to $31B in net debt since the 2015 reset, and the dividend has been rebuilt from $0.50 to $1.17 with 9 consecutive years of growth. At 20.8x forward earnings, KMI is reasonably valued for an infrastructure monopoly with growing AI-driven demand.</w:t>
      </w:r>
    </w:p>
    <w:p>
      <w:pPr>
        <w:spacing w:after="120"/>
      </w:pPr>
      <w:r>
        <w:rPr>
          <w:rFonts w:ascii="Calibri" w:hAnsi="Calibri"/>
          <w:b w:val="0"/>
          <w:color w:val="3A4A28"/>
          <w:sz w:val="20"/>
        </w:rPr>
        <w:t>The bear case centers on structural limitations: ROE of 9.83% reflects the regulated-return nature of pipeline assets that constrains upside even during volume growth periods [4]. D/E of 100% remains elevated for an infrastructure company, and the 76% payout ratio leaves limited dividend growth runway without leverage reduction. Five-year dividend growth CAGR of just 2.2% trails inflation, meaning real income erodes despite the attractive 3.48% current yield. The 2015 dividend cut — while ultimately validated — destroyed significant shareholder value and demonstrates the risk of KMI's high-leverage operating model. Revenue volatility from commodity price exposure (despite the fee-based model) creates valuation noise, with the five-year revenue CAGR of approximately 2% masking wild year-to-year swings. Long-term energy transition risk remains: while natural gas is the current bridge fuel for AI data centers, growing nuclear, solar, and battery deployments could eventually reduce gas demand. Permitting and environmental challenges for new pipeline construction remain meaningful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secular demand growth for natural gas, with transport volumes up 7% YoY and a record $10+ billion project backlog providing multi-year capacity expansion visibility</w:t>
      </w:r>
    </w:p>
    <w:p>
      <w:pPr>
        <w:spacing w:before="40" w:after="40"/>
        <w:ind w:left="283"/>
      </w:pPr>
      <w:r>
        <w:rPr>
          <w:rFonts w:ascii="Calibri" w:hAnsi="Calibri"/>
          <w:b/>
          <w:color w:val="4A6B25"/>
          <w:sz w:val="20"/>
        </w:rPr>
        <w:t xml:space="preserve">2. </w:t>
      </w:r>
      <w:r>
        <w:rPr>
          <w:rFonts w:ascii="Calibri" w:hAnsi="Calibri"/>
          <w:b w:val="0"/>
          <w:color w:val="3A4A28"/>
          <w:sz w:val="20"/>
        </w:rPr>
        <w:t>LNG export capacity expansion along the Gulf Coast increasing demand for Kinder Morgan's Haynesville and Permian Basin gathering and transport networks, where gathering volumes jumped 26% in Q2 2026</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and dividend growth with management targeting at least 5% EBITDA growth above budget and maintaining a pattern of annual dividend increases toward the pre-2015 peak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Energy transition risk as growing nuclear, solar, and battery storage deployments could reduce long-term natural gas demand, particularly if AI data center operators shift to renewable and nuclear baseload power</w:t>
      </w:r>
    </w:p>
    <w:p>
      <w:pPr>
        <w:spacing w:before="40" w:after="40"/>
        <w:ind w:left="283"/>
      </w:pPr>
      <w:r>
        <w:rPr>
          <w:rFonts w:ascii="Calibri" w:hAnsi="Calibri"/>
          <w:b/>
          <w:color w:val="4A6B25"/>
          <w:sz w:val="20"/>
        </w:rPr>
        <w:t xml:space="preserve">2. </w:t>
      </w:r>
      <w:r>
        <w:rPr>
          <w:rFonts w:ascii="Calibri" w:hAnsi="Calibri"/>
          <w:b w:val="0"/>
          <w:color w:val="3A4A28"/>
          <w:sz w:val="20"/>
        </w:rPr>
        <w:t>D/E of 100% and 76% payout ratio constrain financial flexibility — any downturn in natural gas volumes or commodity-linked revenue could pressure the dividend coverage ratio</w:t>
      </w:r>
    </w:p>
    <w:p>
      <w:pPr>
        <w:spacing w:before="40" w:after="40"/>
        <w:ind w:left="283"/>
      </w:pPr>
      <w:r>
        <w:rPr>
          <w:rFonts w:ascii="Calibri" w:hAnsi="Calibri"/>
          <w:b/>
          <w:color w:val="4A6B25"/>
          <w:sz w:val="20"/>
        </w:rPr>
        <w:t xml:space="preserve">3. </w:t>
      </w:r>
      <w:r>
        <w:rPr>
          <w:rFonts w:ascii="Calibri" w:hAnsi="Calibri"/>
          <w:b w:val="0"/>
          <w:color w:val="3A4A28"/>
          <w:sz w:val="20"/>
        </w:rPr>
        <w:t>Permitting and regulatory headwinds for new pipeline construction could delay the $10+ billion project backlog, limiting volume growth and deferring revenue from capacity expansion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Kinder Morgan's core business — owning and operating 83,000 miles of physical pipelines, 141 terminals, and 700 BCF of natural gas storage — is structurally immune to AI disruption [2]. AI cannot replace pipelines that physically transport natural gas, and the permitting, right-of-way, and capital barriers to building competing infrastructure are insurmountable. More significantly, AI is directly increasing demand for KMI's services: AI data centers require massive amounts of electricity, and natural gas power generation is the primary source of baseload and peaking power for these facilities [2]. Natural gas transport volumes rose 7% YoY in Q2 2026, with management citing data center demand as a key growth driver [1]. Every new AI data center built increases demand for KMI's pipeline capacity. This represents the ideal AI resilience position — the business is physically immune to AI substitution AND benefits from AI-driven demand growth. AI Opportunity (0/1): Kinder Morgan does not sell AI products or services to external customers. The AI demand tailwind benefits the company through increased pipeline utilization and expansion opportunities, but this is organic demand growth, not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Kinder Morgan Q2 2026 Earnings and Raised Full-Year Guidance — Yahoo Finance, Investing.com, TIKR, Simply Wall St, July 2026</w:t>
      </w:r>
    </w:p>
    <w:p>
      <w:pPr>
        <w:spacing w:before="20" w:after="20"/>
        <w:ind w:left="170"/>
      </w:pPr>
      <w:r>
        <w:rPr>
          <w:rFonts w:ascii="Calibri" w:hAnsi="Calibri"/>
          <w:b/>
          <w:color w:val="4A6B25"/>
          <w:sz w:val="15"/>
        </w:rPr>
        <w:t xml:space="preserve">2. </w:t>
      </w:r>
      <w:r>
        <w:rPr>
          <w:rFonts w:ascii="Calibri" w:hAnsi="Calibri"/>
          <w:b w:val="0"/>
          <w:color w:val="3A4A28"/>
          <w:sz w:val="17"/>
        </w:rPr>
        <w:t>Kinder Morgan Leadership, AI Strategy, Capital Discipline Philosophy, and Infrastructure — IMD, FinancialContent, Fortune,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Kinder Morgan ESG Report, Environmental Initiatives, and Community Engagement — KinderMorgan.com, BusinessWire,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Kinder Morgan (KMI) Financial Statistics and Valuation — StockAnalysis.com, Yahoo Finance,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