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KRC</w:t>
      </w:r>
      <w:r>
        <w:rPr>
          <w:rFonts w:ascii="Calibri" w:hAnsi="Calibri"/>
          <w:b/>
          <w:color w:val="1A2010"/>
          <w:sz w:val="40"/>
        </w:rPr>
        <w:t xml:space="preserve">  Kilroy Realty Corporation</w:t>
      </w:r>
    </w:p>
    <w:p>
      <w:pPr>
        <w:spacing w:after="120"/>
      </w:pPr>
      <w:r>
        <w:rPr>
          <w:rFonts w:ascii="Calibri" w:hAnsi="Calibri"/>
          <w:b/>
          <w:color w:val="6E8450"/>
          <w:sz w:val="18"/>
        </w:rPr>
        <w:t>DIVIDEND SLEEVE · 2026-07-19 · Inspire: 64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Kilroy Realty is a West Coast office and life science REIT with operations concentrated in San Francisco, Los Angeles, San Diego, Seattle, and Austin. The company owns and develops premier office and life science campuses, and is actively repositioning legacy office assets — including flagship 100 First Street in San Francisco — to capture demand from AI-focused tenants.</w:t>
      </w:r>
    </w:p>
    <w:p>
      <w:r>
        <w:rPr>
          <w:rFonts w:ascii="Calibri" w:hAnsi="Calibri"/>
          <w:b/>
          <w:color w:val="6E8450"/>
          <w:sz w:val="18"/>
        </w:rPr>
        <w:t>241 Employees · https://www.kilroyrealty.com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Kilroy is executing a genuine repositioning strategy — converting select office assets to life science use (Kilroy Oyster Point, San Diego redevelopments landing anchor tenants) and repositioning flagship 100 First Street in San Francisco specifically to target AI tenants — and this is bearing fruit: Q1 2026 leasing of 568,000 sq ft was the strongest first quarter since 2017, more than double the prior-year period, prompting management to raise full-year 2026 FFO guidance to $3.49-$3.63/share from $3.25-$3.45 [1][2]. AI Deployment (0/2): As a real estate owner/operator, Kilroy does not ship AI products; no evidence of internal AI-driven operational tools was found. Market Share (1/2): Technology tenants represent 51% of annualized base rent and life science/healthcare another 18-19%, with the San Francisco Bay Area alone generating 44% of company NOI — meaningful concentration and specific data, but not an explicit market-share-leadership claim versus peers (Boston Properties, Hudson Pacific, Douglas Emmett) [2]. Product Pipeline (2/2): The 1900 Broadway land joint venture ($330-350M estimated project cost) and ongoing life-science redevelopment pipeline provide specific, dollar-quantified forward visibility [1]. R&amp;D Intensity (0/1): Not applicable to a REIT — capital is deployed into property development rather than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Kilroy describes itself as developing 'premier office and life science properties designed to support innovation, sustainability, and business growth' — clear about what the company does and for whom, but largely interchangeable with peer REIT mission language rather than distinctively differentiated [3]. Community Impact (1/2): Kilroy is in its third year of carbon-neutral operations and has published specific 2030 Sustainability Goals (30% embodied-carbon reduction by 2030, 50% by 2050) with a Supplier Excellence Survey program — real, quantified environmental commitments, though this research did not find dedicated charitable-giving or community-investment programs with dollar figures [7]. Employee Retention (0/2): No Glassdoor or tenure/turnover data was found in this research pass for the company's small 241-person workforce. Insider Buying (0/2): Recent 2026 insider activity consists of routine stock grants and awards to executives and directors rather than open-market purchases signaling conviction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(dividend-weighted). D/E of 85.9% (score 0.93) and profit margin of 19.6% (score 0.98) are both close to target. ROE of 4.4% (score 0.29) is well below the 15% target, and revenue growth is roughly flat both YoY (-0.3%, score 0.66) and on a 3yr CAGR proxy (~0.5%, score 0.37). Two REIT-specific weaknesses hit hard: Forward P/E of 80.5x breaches the 60x floor and scores 0 (a function of GAAP-earnings/depreciation accounting rather than FFO, but scored as-given), and payout ratio of 118.0% breaches the 100% floor and also scores 0. Dividend durability is mixed: 27 consecutive years paid is a strong, capped-at-1.0 record (2x weight), but the quarterly rate has been flat at $0.54/share since Q3 2022 — zero consecutive years of dividend growth (score 0) and a 5yr dividend growth CAGR of only ~1.15% (score 0.19, 2x weight). Liquidity is not a constraint: ~1.56M average daily volume at $40.25/share is ~$62.9M in daily dollar volume,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Kilroy has real, quantified sustainability commitments (carbon-neutral operations, 2030 embodied-carbon targets) and a new CEO actively restructuring leadership and capital allocation during a difficult office cycle, but the company's mission reads as fairly generic REIT positioning, no evidence of worthy-rival framing was found, and the portfolio shift toward life science and AI tenants remains an incremental repositioning rather than a transformative pivot.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Kilroy's stated purpose of developing 'premier office and life science properties designed to support innovation, sustainability, and business growth' is referenced in company materials and connects to real sustainability execution (carbon-neutral operations, embodied-carbon targets), but it reads as fairly standard REIT-sector framing rather than a deeply distinctive, decades-validated cause [3][7].</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negative culture signals were found for the small 241-person organization, but this research also did not surface specific tenure, turnover, or Glassdoor data to justify a top score — treated as adequate, industry-average trust in the absence of evidence either way.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Kilroy leadership acknowledging competitors (Boston Properties, Hudson Pacific, Douglas Emmett) as worthy rivals whose strengths sharpen strategy; available commentary focuses on Kilroy's own portfolio repositioning and sustainability leadership.</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Kilroy has adapted select assets from traditional office to life science use (Kilroy Oyster Point, San Diego redevelopments) and is repositioning flagship San Francisco space toward AI tenants, but the core of the portfolio remains West Coast office real estate rather than having undergone a transformative business-model pivot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Angela Aman (appointed January 2024, the company's first female CEO and first from outside the founding family) restructured the executive team — splitting the combined CIO/CFO role, hiring a new CFO, promoting internal leadership, and adding dedicated San Francisco leasing talent — while executing $350M+ of non-core asset sales during a down office market, a real structural bet during industry distress rather than simply holding steady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Kilroy Realty is showing genuine operational momentum: Q1 2026 leasing of 568,000 sq ft was the strongest first quarter since 2017 (more than double the prior year), management raised full-year 2026 FFO guidance to $3.49-$3.63/share, and same-property cash NOI guidance improved by 150bps at the midpoint [1]. The company is uniquely positioned to benefit from AI-driven office demand — the San Francisco Bay Area, now 44% of NOI, is seeing AI labs and tech tenants drive leasing activity and rent growth, and Kilroy is repositioning flagship assets like 100 First Street specifically to capture this demand [2]. A 5.37% dividend yield backed by 27 consecutive years of payments offers meaningful income, and new CEO Angela Aman has moved decisively on leadership restructuring and $350M+ of non-core dispositions to sharpen the portfolio [1][4].</w:t>
      </w:r>
    </w:p>
    <w:p>
      <w:pPr>
        <w:spacing w:after="120"/>
      </w:pPr>
      <w:r>
        <w:rPr>
          <w:rFonts w:ascii="Calibri" w:hAnsi="Calibri"/>
          <w:b w:val="0"/>
          <w:color w:val="3A4A28"/>
          <w:sz w:val="20"/>
        </w:rPr>
        <w:t>The bear case centers on REIT-specific financial strain: the payout ratio of 118.0% breaches the mechanical floor entirely, and the quarterly dividend has been frozen at $0.54/share since Q3 2022 (5yr dividend growth CAGR of just ~1.15%), suggesting limited room for increases and latent cut risk if NOI growth stalls [1]. ROE of 4.4% is well below the 15% target and revenue has been roughly flat for three years running (~0.5% CAGR), reflecting the broader West Coast office sector's structural challenges — occupancy still sits in the high-70s to low-80s percent range even after the leasing rebound. Beyond company-specific execution, analysts continue to flag a broader 'AI disruption narrative' around remote work reducing aggregate office demand, a sentiment overhang on valuations that could persist even as Kilroy's specific AI-tenant thesis plays out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AI-driven leasing momentum in San Francisco (44% of NOI) as AI labs and tech tenants compete for scarce large-block space, supporting rent growth and occupancy gains</w:t>
      </w:r>
    </w:p>
    <w:p>
      <w:pPr>
        <w:spacing w:before="40" w:after="40"/>
        <w:ind w:left="283"/>
      </w:pPr>
      <w:r>
        <w:rPr>
          <w:rFonts w:ascii="Calibri" w:hAnsi="Calibri"/>
          <w:b/>
          <w:color w:val="4A6B25"/>
          <w:sz w:val="20"/>
        </w:rPr>
        <w:t xml:space="preserve">2. </w:t>
      </w:r>
      <w:r>
        <w:rPr>
          <w:rFonts w:ascii="Calibri" w:hAnsi="Calibri"/>
          <w:b w:val="0"/>
          <w:color w:val="3A4A28"/>
          <w:sz w:val="20"/>
        </w:rPr>
        <w:t>100 First Street and other flagship repositioning projects converting AI-tenant demand into signed leases and NOI growth ahead of 2026-2027 guidance</w:t>
      </w:r>
    </w:p>
    <w:p>
      <w:pPr>
        <w:spacing w:before="40" w:after="40"/>
        <w:ind w:left="283"/>
      </w:pPr>
      <w:r>
        <w:rPr>
          <w:rFonts w:ascii="Calibri" w:hAnsi="Calibri"/>
          <w:b/>
          <w:color w:val="4A6B25"/>
          <w:sz w:val="20"/>
        </w:rPr>
        <w:t xml:space="preserve">3. </w:t>
      </w:r>
      <w:r>
        <w:rPr>
          <w:rFonts w:ascii="Calibri" w:hAnsi="Calibri"/>
          <w:b w:val="0"/>
          <w:color w:val="3A4A28"/>
          <w:sz w:val="20"/>
        </w:rPr>
        <w:t>Continued non-core asset disposition ($350M+ YTD) and balance sheet discipline under CEO Angela Aman, funding the 1900 Broadway development and further portfolio sharpening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118.0% leaves no margin of safety on the dividend; a flat quarterly rate since Q3 2022 and any NOI setback could force a cut</w:t>
      </w:r>
    </w:p>
    <w:p>
      <w:pPr>
        <w:spacing w:before="40" w:after="40"/>
        <w:ind w:left="283"/>
      </w:pPr>
      <w:r>
        <w:rPr>
          <w:rFonts w:ascii="Calibri" w:hAnsi="Calibri"/>
          <w:b/>
          <w:color w:val="4A6B25"/>
          <w:sz w:val="20"/>
        </w:rPr>
        <w:t xml:space="preserve">2. </w:t>
      </w:r>
      <w:r>
        <w:rPr>
          <w:rFonts w:ascii="Calibri" w:hAnsi="Calibri"/>
          <w:b w:val="0"/>
          <w:color w:val="3A4A28"/>
          <w:sz w:val="20"/>
        </w:rPr>
        <w:t>ROE of 4.4% and roughly flat multi-year revenue growth reflect a West Coast office sector still working through secular demand challenges despite the recent leasing rebound</w:t>
      </w:r>
    </w:p>
    <w:p>
      <w:pPr>
        <w:spacing w:before="40" w:after="40"/>
        <w:ind w:left="283"/>
      </w:pPr>
      <w:r>
        <w:rPr>
          <w:rFonts w:ascii="Calibri" w:hAnsi="Calibri"/>
          <w:b/>
          <w:color w:val="4A6B25"/>
          <w:sz w:val="20"/>
        </w:rPr>
        <w:t xml:space="preserve">3. </w:t>
      </w:r>
      <w:r>
        <w:rPr>
          <w:rFonts w:ascii="Calibri" w:hAnsi="Calibri"/>
          <w:b w:val="0"/>
          <w:color w:val="3A4A28"/>
          <w:sz w:val="20"/>
        </w:rPr>
        <w:t>Analyst-flagged 'AI disruption narrative' around remote work reducing aggregate office space needs could offset company-specific AI-tenant demand gains and keep valuations compressed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Kilroy's core asset — physical office and life science real estate — is structurally protected from AI substitution, and the company is a rare case where AI is a measurable demand tailwind rather than a threat: 'AI-driven leasing in the San Francisco Bay Area, which generates 44% of Kilroy Realty's net operating income, is lifting rents,' more than 16 tenants are hunting for 100,000+ sq ft of Bay Area space with roughly half AI-driven, and Kilroy is repositioning its flagship 100 First Street asset specifically to target AI tenants [2]. This keeps the score just below the top tier because analysts have flagged a broader 'AI disruption narrative' — concerns that AI-enabled remote work could structurally reduce office demand — as a real factor pressuring office-sector valuations and price targets, a risk that is sentiment-driven but explicitly analyst-acknowledged [3]. AI Opportunity (1/1): The AI-driven leasing dynamic is quantified and material — 44% of NOI tied to the AI-charged San Francisco market, with specific building-level repositioning (100 First Street) targeting AI tenants directly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Kilroy Realty Q1 2026 Results — revenue $270.1M, FFO $0.91/share, raised FY2026 FFO guidance to $3.49-$3.63, May 2026</w:t>
      </w:r>
    </w:p>
    <w:p>
      <w:pPr>
        <w:spacing w:before="20" w:after="20"/>
        <w:ind w:left="170"/>
      </w:pPr>
      <w:r>
        <w:rPr>
          <w:rFonts w:ascii="Calibri" w:hAnsi="Calibri"/>
          <w:b/>
          <w:color w:val="4A6B25"/>
          <w:sz w:val="15"/>
        </w:rPr>
        <w:t xml:space="preserve">2. </w:t>
      </w:r>
      <w:r>
        <w:rPr>
          <w:rFonts w:ascii="Calibri" w:hAnsi="Calibri"/>
          <w:b w:val="0"/>
          <w:color w:val="3A4A28"/>
          <w:sz w:val="17"/>
        </w:rPr>
        <w:t>Kilroy Realty Finds New Office Demand In AI Hot Spots; Kilroy Realty: AI-Driven Demand Meets Strategic Repositioning, 2026</w:t>
      </w:r>
    </w:p>
    <w:p>
      <w:pPr>
        <w:spacing w:before="20" w:after="20"/>
        <w:ind w:left="170"/>
      </w:pPr>
      <w:r>
        <w:rPr>
          <w:rFonts w:ascii="Calibri" w:hAnsi="Calibri"/>
          <w:b/>
          <w:color w:val="4A6B25"/>
          <w:sz w:val="15"/>
        </w:rPr>
        <w:t xml:space="preserve">3. </w:t>
      </w:r>
      <w:r>
        <w:rPr>
          <w:rFonts w:ascii="Calibri" w:hAnsi="Calibri"/>
          <w:b w:val="0"/>
          <w:color w:val="3A4A28"/>
          <w:sz w:val="17"/>
        </w:rPr>
        <w:t>Kilroy Realty analyst commentary on AI disruption narrative and office valuation pressure, 2026</w:t>
      </w:r>
    </w:p>
    <w:p>
      <w:pPr>
        <w:spacing w:before="20" w:after="20"/>
        <w:ind w:left="170"/>
      </w:pPr>
      <w:r>
        <w:rPr>
          <w:rFonts w:ascii="Calibri" w:hAnsi="Calibri"/>
          <w:b/>
          <w:color w:val="4A6B25"/>
          <w:sz w:val="15"/>
        </w:rPr>
        <w:t xml:space="preserve">4. </w:t>
      </w:r>
      <w:r>
        <w:rPr>
          <w:rFonts w:ascii="Calibri" w:hAnsi="Calibri"/>
          <w:b w:val="0"/>
          <w:color w:val="3A4A28"/>
          <w:sz w:val="17"/>
        </w:rPr>
        <w:t>Kilroy Announces Leadership Transition / Angela Aman CEO appointment coverage, businesswire.com and Los Angeles Business Journal, 2024-2026</w:t>
      </w:r>
    </w:p>
    <w:p>
      <w:pPr>
        <w:spacing w:before="20" w:after="20"/>
        <w:ind w:left="170"/>
      </w:pPr>
      <w:r>
        <w:rPr>
          <w:rFonts w:ascii="Calibri" w:hAnsi="Calibri"/>
          <w:b/>
          <w:color w:val="4A6B25"/>
          <w:sz w:val="15"/>
        </w:rPr>
        <w:t xml:space="preserve">5. </w:t>
      </w:r>
      <w:r>
        <w:rPr>
          <w:rFonts w:ascii="Calibri" w:hAnsi="Calibri"/>
          <w:b w:val="0"/>
          <w:color w:val="3A4A28"/>
          <w:sz w:val="17"/>
        </w:rPr>
        <w:t>Kilroy Realty (KRC) Dividend History, macrotrends.net and stockanalysis.com,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Kilroy Realty (KRC) insider trading activity, stocktitan.net / marketbeat.com, 2026</w:t>
      </w:r>
    </w:p>
    <w:p>
      <w:pPr>
        <w:spacing w:before="20" w:after="20"/>
        <w:ind w:left="170"/>
      </w:pPr>
      <w:r>
        <w:rPr>
          <w:rFonts w:ascii="Calibri" w:hAnsi="Calibri"/>
          <w:b/>
          <w:color w:val="4A6B25"/>
          <w:sz w:val="15"/>
        </w:rPr>
        <w:t xml:space="preserve">7. </w:t>
      </w:r>
      <w:r>
        <w:rPr>
          <w:rFonts w:ascii="Calibri" w:hAnsi="Calibri"/>
          <w:b w:val="0"/>
          <w:color w:val="3A4A28"/>
          <w:sz w:val="17"/>
        </w:rPr>
        <w:t>Kilroy Realty 2030 Sustainability Goals and carbon-neutral operations disclosures, kilroyrealty.com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