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KREF</w:t>
      </w:r>
      <w:r>
        <w:rPr>
          <w:rFonts w:ascii="Calibri" w:hAnsi="Calibri"/>
          <w:b/>
          <w:color w:val="1A2010"/>
          <w:sz w:val="40"/>
        </w:rPr>
        <w:t xml:space="preserve">  KKR Real Estate Finance Trust Inc.</w:t>
      </w:r>
    </w:p>
    <w:p>
      <w:pPr>
        <w:spacing w:after="120"/>
      </w:pPr>
      <w:r>
        <w:rPr>
          <w:rFonts w:ascii="Calibri" w:hAnsi="Calibri"/>
          <w:b/>
          <w:color w:val="6E8450"/>
          <w:sz w:val="18"/>
        </w:rPr>
        <w:t>DIVIDEND SLEEVE · 2026-08-03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KKR Real Estate Finance Trust is a mortgage REIT that originates and acquires transitional senior loans secured by commercial real estate assets. Externally managed by a KKR &amp; Co. affiliate, the company focuses on floating-rate senior CRE loans across office, multifamily, and life science property types. KREF reported a Q2 2026 net loss of $121.8M driven by $75.1M in credit provisions and a $44.8M fair-value write-down, and the board has established a committee to review strategic alternatives including a potential sale or merger.</w:t>
      </w:r>
    </w:p>
    <w:p>
      <w:r>
        <w:rPr>
          <w:rFonts w:ascii="Calibri" w:hAnsi="Calibri"/>
          <w:b/>
          <w:color w:val="6E8450"/>
          <w:sz w:val="18"/>
        </w:rPr>
        <w:t>https://www.kkrreit.com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KREF's business model has remained unchanged since its 2017 IPO — originating transitional CRE senior loans with no meaningful product launches, pivots, or transformations [1]. The company is now exploring strategic alternatives (sale/merger) amid sustained losses, signaling the model itself may not be viable in the current environment. AI Deployment (0/2): No evidence of AI-powered products or quantified AI-driven efficiency gains at KREF specifically. KKR has broader AI underwriting initiatives but KREF has not reported deployments with measurable results [2]. Market Share (1/2): KREF remains a recognizable player in the CRE lending space backed by KKR's $70B+ real estate platform, though it is not a category leader and is losing competitive position as losses mount and the board explores exit options [1]. Product Pipeline (0/2): No next-generation products announced; the company is in strategic review mode, not launching new offerings. R&amp;D Intensity (1/1): While KREF itself has zero R&amp;D spend, this matches the mortgage REIT industry average where no peers invest in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KREF's purpose is described in purely financial terms — providing 'customized CRE financing solutions' and generating 'attractive risk-adjusted returns' for shareholders [3]. This is generic, interchangeable with any commercial lender, and articulates no deeper purpose beyond capital allocation. Community Impact (0/2): No evidence of KREF-specific charitable programs, foundation activity, or community investment initiatives. As an externally managed vehicle, KREF relies on KKR's broader philanthropy but runs no independent programs. Employee Retention (0/2): KREF is externally managed with no direct employees; management is provided by a KKR affiliate. There is no meaningful employee retention data applicable to KREF specifically. Insider Buying (1/2): CEO Matt Salem and KKR-affiliated directors have maintained their stock positions through the downturn, with some modest insider purchasing, though not at levels indicating strong conviction given the stock's 65% five-year decline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severe financial distress. D/E of 410.6% is far above the 300% floor with $4.5B in debt against approximately $1.1B in equity [4]. ROE of -10.08% reflects sustained net losses — Q2 2026 alone posted a $121.8M loss driven by $75.1M in credit provisions and $44.8M in fair-value write-downs on a loan held-for-sale [1]. Net interest income declined 40% YoY from $30.2M to $18.2M in Q2 as the loan portfolio shrinks. The dividend has been cut twice — from $0.43 to $0.25 quarterly in 2024, then to $0.10 quarterly ($0.40 annual) in April 2026, representing a cumulative 77% reduction [4]. The only positive metric is 10 consecutive years of dividend payments since the 2017 IPO, though at this trajectory the payment history itself is at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KREF functions as a financial product within KKR's ecosystem, not a purpose-driven organization. The company's board has established a committee to review strategic alternatives including sale or merger, which is the clearest possible signal of finite-game thinking — the organization may voluntarily choose to cease existing. The dividend cuts from $1.72 to $0.40 annual demonstrate survival-oriented pragmatism, and KKR's institutional backing provides stability, but there is no evidence of a Just Cause or long-term vision for KREF as an independent 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KREF exists to generate income for shareholders through CRE lending. Its purpose is purely transactional — originate loans, collect interest, distribute dividends [3]. The strategic alternatives review signals the company may not even continue to exist in its current form. There is no articulated vision of a better future, no cause that inspires sacrifice, and no purpose beyond financial returns. This is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REIT, KREF has no direct employees — it is managed by KKR affiliates. KKR's Glassdoor ratings show a mixed picture at 3.7/5 with positives around compensation and benefits but concerns about diminishing accountability culture and competitive internal dynamics [2]. Leadership under CEO Matt Salem has been consistent since 2020, providing continuity through the severe CRE downturn, though the strategic alternatives review creates uncertainty for the management team's future.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KREF management acknowledges competitors' strengths or uses competitive pressure for self-improvement. Earnings calls focus on portfolio management and credit performance with standard industry positioning. The company has retreated from competitive origination alongside peers like Apollo's commercial mortgage REIT, reflecting industry-wide distress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KREF has shown incremental flexibility by reducing office exposure from approximately 40% to 25% of the portfolio as CRE market conditions deteriorated [1]. The board's establishment of a strategic alternatives committee — considering sale, merger, or business plan change — represents willingness to consider radical transformation. However, in Sinek's framework, existential flexibility is driven by a Just Cause, not desperation. KREF's strategic review is a survival mechanism, not a purposeful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made painful but necessary decisions — cutting the dividend 42% in 2024 and a further 60% in April 2026 to preserve capital and maintain balance sheet stability [4]. Credit reserves were increased proactively ($75.1M in Q2 2026 provisions) rather than waiting for losses to fully materialize [1]. These actions sacrifice near-term shareholder satisfaction for survival, but they are standard risk management responses to distress rather than courageous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KREF trades at a deep discount to book value with an 11.80% dividend yield on the reduced $0.40 annual rate, offering a high-income entry point for investors willing to underwrite CRE credit recovery [4]. Management expects more than $2B in loan repayments during 2026, which should reduce leverage toward target levels, and stated that 'the most significant book value impact is now behind us' [1]. KKR's $70B+ real estate platform provides access to deal flow, workout expertise, and institutional support that standalone mortgage REITs lack. If interest rates decline and CRE credit conditions stabilize, the discount to book could narrow significantly, providing both income and capital appreciation from current distressed levels.</w:t>
      </w:r>
    </w:p>
    <w:p>
      <w:pPr>
        <w:spacing w:after="120"/>
      </w:pPr>
      <w:r>
        <w:rPr>
          <w:rFonts w:ascii="Calibri" w:hAnsi="Calibri"/>
          <w:b w:val="0"/>
          <w:color w:val="3A4A28"/>
          <w:sz w:val="20"/>
        </w:rPr>
        <w:t>The bear case is severe and immediate. Q2 2026 net loss of $121.8M nearly quadrupled Q2 2025's $35.4M loss, driven by $75.1M in credit provisions and a $44.8M fair-value write-down on a loan held-for-sale [1]. Net interest income fell 40% YoY to $18.2M as the loan portfolio contracts. The dividend has been cut 77% cumulatively — from $1.72 to $0.40 annual — and remains at risk of further reduction or suspension if credit losses continue. D/E of 410.6% with $4.5B in debt creates extreme leverage risk where even modest portfolio losses rapidly erode equity [4]. The board's establishment of a strategic alternatives committee (sale/merger review) signals that the company's viability as an independent entity is in question. Office and life science loan exposures remain vulnerable to structural CRE market shifts, and the $260M+ credit allowance may prove insufficient.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Expected $2B+ in 2026 loan repayments reducing leverage toward target range and improving balance sheet stability, potentially restoring positive ROE [1]</w:t>
      </w:r>
    </w:p>
    <w:p>
      <w:pPr>
        <w:spacing w:before="40" w:after="40"/>
        <w:ind w:left="283"/>
      </w:pPr>
      <w:r>
        <w:rPr>
          <w:rFonts w:ascii="Calibri" w:hAnsi="Calibri"/>
          <w:b/>
          <w:color w:val="4A6B25"/>
          <w:sz w:val="20"/>
        </w:rPr>
        <w:t xml:space="preserve">2. </w:t>
      </w:r>
      <w:r>
        <w:rPr>
          <w:rFonts w:ascii="Calibri" w:hAnsi="Calibri"/>
          <w:b w:val="0"/>
          <w:color w:val="3A4A28"/>
          <w:sz w:val="20"/>
        </w:rPr>
        <w:t>Fed rate cuts reducing borrower stress on floating-rate loans and compressing KREF's funding costs, improving net interest margin from the current compressed $18.2M quarterly level</w:t>
      </w:r>
    </w:p>
    <w:p>
      <w:pPr>
        <w:spacing w:before="40" w:after="40"/>
        <w:ind w:left="283"/>
      </w:pPr>
      <w:r>
        <w:rPr>
          <w:rFonts w:ascii="Calibri" w:hAnsi="Calibri"/>
          <w:b/>
          <w:color w:val="4A6B25"/>
          <w:sz w:val="20"/>
        </w:rPr>
        <w:t xml:space="preserve">3. </w:t>
      </w:r>
      <w:r>
        <w:rPr>
          <w:rFonts w:ascii="Calibri" w:hAnsi="Calibri"/>
          <w:b w:val="0"/>
          <w:color w:val="3A4A28"/>
          <w:sz w:val="20"/>
        </w:rPr>
        <w:t>Strategic alternatives review could unlock value through a sale or merger at a premium to the deeply discounted market price, with KKR's institutional backing facilitating a transaction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CRE credit deterioration forcing additional provisions beyond the $260M+ current allowance — Q2 2026's $75.1M provision and $44.8M write-down demonstrate the portfolio is far from fully impaired [1]</w:t>
      </w:r>
    </w:p>
    <w:p>
      <w:pPr>
        <w:spacing w:before="40" w:after="40"/>
        <w:ind w:left="283"/>
      </w:pPr>
      <w:r>
        <w:rPr>
          <w:rFonts w:ascii="Calibri" w:hAnsi="Calibri"/>
          <w:b/>
          <w:color w:val="4A6B25"/>
          <w:sz w:val="20"/>
        </w:rPr>
        <w:t xml:space="preserve">2. </w:t>
      </w:r>
      <w:r>
        <w:rPr>
          <w:rFonts w:ascii="Calibri" w:hAnsi="Calibri"/>
          <w:b w:val="0"/>
          <w:color w:val="3A4A28"/>
          <w:sz w:val="20"/>
        </w:rPr>
        <w:t>Further dividend reduction or suspension if net losses persist — Q2 2026 loss of $121.8M against $0.10 quarterly dividend means losses exceed distributions by 300:1, and cash conservation may require eliminating the payout entirely</w:t>
      </w:r>
    </w:p>
    <w:p>
      <w:pPr>
        <w:spacing w:before="40" w:after="40"/>
        <w:ind w:left="283"/>
      </w:pPr>
      <w:r>
        <w:rPr>
          <w:rFonts w:ascii="Calibri" w:hAnsi="Calibri"/>
          <w:b/>
          <w:color w:val="4A6B25"/>
          <w:sz w:val="20"/>
        </w:rPr>
        <w:t xml:space="preserve">3. </w:t>
      </w:r>
      <w:r>
        <w:rPr>
          <w:rFonts w:ascii="Calibri" w:hAnsi="Calibri"/>
          <w:b w:val="0"/>
          <w:color w:val="3A4A28"/>
          <w:sz w:val="20"/>
        </w:rPr>
        <w:t>Strategic alternatives review may result in a sale or liquidation at prices well below book value, crystallizing permanent capital losses for shareholders as the board signals the standalone model is unsustainable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KREF's core business of originating and holding transitional CRE senior loans is a physical-world, relationship-driven, and regulatory-intensive activity that AI cannot structurally displace [1]. Commercial real estate lending requires property inspections, legal documentation, borrower negotiation, and regulatory compliance. Mortgage REITs face no meaningful substitution risk from AI tools. AI may modestly improve underwriting speed and credit risk assessment, and KKR has acknowledged the 'big AI question' across its portfolio companies, but analysts flag zero AI disruption risk for the lending model itself [2]. The indirect risk — AI accelerating remote work and reducing office CRE demand — is a market risk, not a business model risk. AI Opportunity (0/1): KREF generates no revenue from AI products or services. KKR's broader AI strategy has not translated into quantifiable AI revenue for KREF.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KKR Real Estate Finance Trust Q2 2026 Earnings Release and 10-Q — Net Loss $121.8M, NII $18.2M, Credit Provision $75.1M, July 2026</w:t>
      </w:r>
    </w:p>
    <w:p>
      <w:pPr>
        <w:spacing w:before="20" w:after="20"/>
        <w:ind w:left="170"/>
      </w:pPr>
      <w:r>
        <w:rPr>
          <w:rFonts w:ascii="Calibri" w:hAnsi="Calibri"/>
          <w:b/>
          <w:color w:val="4A6B25"/>
          <w:sz w:val="15"/>
        </w:rPr>
        <w:t xml:space="preserve">2. </w:t>
      </w:r>
      <w:r>
        <w:rPr>
          <w:rFonts w:ascii="Calibri" w:hAnsi="Calibri"/>
          <w:b w:val="0"/>
          <w:color w:val="3A4A28"/>
          <w:sz w:val="17"/>
        </w:rPr>
        <w:t>KKR &amp; Co. AI Strategy and Disruption Risk Commentary, Earnings Calls and 10-K Risk Factors, 2025-2026</w:t>
      </w:r>
    </w:p>
    <w:p>
      <w:pPr>
        <w:spacing w:before="20" w:after="20"/>
        <w:ind w:left="170"/>
      </w:pPr>
      <w:r>
        <w:rPr>
          <w:rFonts w:ascii="Calibri" w:hAnsi="Calibri"/>
          <w:b/>
          <w:color w:val="4A6B25"/>
          <w:sz w:val="15"/>
        </w:rPr>
        <w:t xml:space="preserve">3. </w:t>
      </w:r>
      <w:r>
        <w:rPr>
          <w:rFonts w:ascii="Calibri" w:hAnsi="Calibri"/>
          <w:b w:val="0"/>
          <w:color w:val="3A4A28"/>
          <w:sz w:val="17"/>
        </w:rPr>
        <w:t>KKR Real Estate Finance Trust Corporate Website — kkrreit.com,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KREF Key Statistics, Dividend History, and Valuation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