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KYN</w:t>
      </w:r>
      <w:r>
        <w:rPr>
          <w:rFonts w:ascii="Calibri" w:hAnsi="Calibri"/>
          <w:b/>
          <w:color w:val="1A2010"/>
          <w:sz w:val="40"/>
        </w:rPr>
        <w:t xml:space="preserve">  Kayne Anderson Energy Infrastructure Fund, Inc.</w:t>
      </w:r>
    </w:p>
    <w:p>
      <w:pPr>
        <w:spacing w:after="120"/>
      </w:pPr>
      <w:r>
        <w:rPr>
          <w:rFonts w:ascii="Calibri" w:hAnsi="Calibri"/>
          <w:b/>
          <w:color w:val="6E8450"/>
          <w:sz w:val="18"/>
        </w:rPr>
        <w:t>DIVIDEND SLEEVE · 2026-07-31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Equity · NYSE · United States</w:t>
      </w:r>
    </w:p>
    <w:p>
      <w:pPr>
        <w:spacing w:after="80"/>
      </w:pPr>
      <w:r>
        <w:rPr>
          <w:rFonts w:ascii="Calibri" w:hAnsi="Calibri"/>
          <w:b w:val="0"/>
          <w:color w:val="3A4A28"/>
          <w:sz w:val="20"/>
        </w:rPr>
        <w:t>Kayne Anderson Energy Infrastructure Fund is a non-diversified, closed-end fund investing primarily in midstream energy infrastructure companies. Since inception in 2004, it focuses on delivering high after-tax total returns with emphasis on monthly cash distributions. Portfolio is approximately 95% midstream energy, 3% power infrastructure, and 2% other. Net assets of $2.7 billion as of June 30, 2026. Managed by Kayne Anderson Capital Advisors, L.P.</w:t>
      </w:r>
    </w:p>
    <w:p>
      <w:r>
        <w:rPr>
          <w:rFonts w:ascii="Calibri" w:hAnsi="Calibri"/>
          <w:b/>
          <w:color w:val="6E8450"/>
          <w:sz w:val="18"/>
        </w:rPr>
        <w:t>https://kaynefunds.com/kyn/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KYN evolved from the narrower 'Kayne Anderson MLP Investment Company' to the broader 'Kayne Anderson Energy Infrastructure Fund,' expanding its investable universe beyond MLPs to include midstream C-corps, power infrastructure, and renewable energy — a meaningful but incremental strategic adaptation rather than a transformative pivot [2]. AI Deployment (1/2): Kayne Anderson has created an internal GPT AI to streamline certain back- and middle-office functions, though it explicitly states AI is not relied upon for investment decision-making and no quantified efficiency gains have been reported [6]. Market Share (1/2): KYN is one of the largest energy infrastructure closed-end funds with $2.7 billion in net assets and $3.8 billion in total assets, making it a meaningful player in the energy infrastructure CEF space, though it competes with numerous ETFs and open-end funds for midstream exposure [1]. Product Pipeline (0/2): No product pipeline applicable — KYN is a single-strategy investment vehicle with an established mandate. R&amp;D Intensity (0/1): Not applicable for a closed-end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KYN's stated objective is to deliver 'high after-tax total return with a strong emphasis on monthly cash distributions to shareholders' [2] — a purely financial purpose that is generic and interchangeable with any income-oriented fund. No deeper purpose beyond shareholder returns is articulated. Community Impact (0/2): No evidence of charitable giving, community investment programs, or philanthropic initiatives at the fund level. Employee Retention (1/2): Jim Baker has served as Chairman, President, and CEO since 2019 after 15+ years at Kayne Anderson, demonstrating meaningful leadership continuity [4]. The board has been strengthened with industry veterans including Michael Hennigan (former Marathon Petroleum CEO) [4]. Insider Buying (2/2): Exceptionally strong insider conviction with 18 insider buys and zero insider sells over the past year. CEO Baker purchased 50,000 shares totaling $699,500 in March-April 2026, CFO Austin Parker bought 2,500 shares in May 2026, EVP Harrison Little bought 5,000 shares in April 2026, and Director Hennigan bought 20,000 shares in June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KYN's balance sheet is exceptionally strong with total leverage of $687 million against $2.7 billion net assets, yielding a D/E ratio of only 25.4% — well below the 70% target [1]. Asset coverage ratios of 633% for senior securities and 492% for total leverage provide substantial cushion [1]. ROE of approximately 18.1% (based on diluted EPS of $2.90 and NAV of $16.02) exceeds the 15% target. The monthly distribution of $0.09/share ($1.08 annualized) was recently increased 5.9% from $0.085, yielding approximately 8.1% at the $13.27 share price [3]. Payout ratio of 37.3% relative to EPS is well below the 40% target. The fund has paid distributions consecutively for 22 years since its 2004 inception, with approximately 3 consecutive years of distribution growth following post-COVID rebuilding. Several core metrics (revenue growth, profit margin, forward P/E) are excluded as not meaningful for closed-end fund structures where 'revenue' represents investment income and margins are distorted by unrealized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KYN is a fundamentally finite-minded vehicle — it exists to generate distributions and total returns for shareholders, with no Just Cause beyond capital allocation. The fund demonstrates adequate operational stability through long-tenured leadership and thoughtful board additions, and has shown some flexibility in broadening its mandate from MLPs to broader energy infrastructure. However, there is no evidence of a purpose that transcends financial performance, and the competitive orientation is focused on NAV discount, distribution yield, and relative return metrics — all finite measures.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KYN's purpose — delivering high after-tax total returns with emphasis on monthly distributions — is a finite objective indistinguishable from any income fund. There is no articulated vision of a future state that would inspire sacrifice. The fund exists to allocate capital efficiently, not to advance a cause [2]. Sinek would classify this as a textbook finite player whose success is measured entirely in quarterly NAV and distribution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demonstrates meaningful stability — Jim Baker has been at Kayne Anderson for 15+ years and has served as CEO since 2019, with a smooth succession from predecessor Kevin McCarthy [4]. The board has been carefully constructed with relevant industry expertise, including the recent addition of Michael Hennigan (former Marathon Petroleum CEO) and Michael Mears (pipeline industry veteran). The strong insider buying across multiple executives signals alignment and trust between management and shareholders. However, as an externally managed fund, there is no broader employee base to evaluate.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KYN's competitive positioning focuses on NAV performance, distribution yield relative to peers, and discount-to-NAV metrics — all finite, comparative measures. The fund's communications emphasize its superior return potential (10-15% annual target) relative to alternatives rather than learning from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KYN has evolved its investment mandate incrementally — broadening from an MLP-only focus to encompass the full energy infrastructure universe including midstream C-corps, power infrastructure, and renewables [2]. This represents meaningful adaptation to structural changes in the MLP market (fewer MLPs converting to C-corp structure) but is an incremental evolution within energy infrastructure,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maintained distributions through volatile energy markets and executed the mandate expansion from MLPs to broader energy infrastructure despite potential pushback from MLP-focused investors [4]. CEO Baker and the board's significant personal share purchases during periods of discount to NAV demonstrate willingness to put personal capital at risk alongside shareholders [5]. However, these decisions represent competent management rather than the kind of costly, principled bets Sinek associates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KYN offers compelling access to midstream energy infrastructure through a leveraged closed-end fund structure trading at an approximately 17% discount to its $16.02 NAV as of June 30, 2026 [1]. The fund's $2.7 billion portfolio of predominantly midstream assets is positioned to benefit from two secular tailwinds: AI-driven data center buildouts consuming record natural gas and electricity volumes, and the energy security imperative supporting domestic infrastructure investment. With 8.1% distribution yield, recently increased to $0.09/month (5.9% raise), and management targeting 10-15% total annual returns through a combination of 4-6% dividend yields, 5-7% cash flow growth, and 0-3% excess free cash flow from portfolio holdings, KYN provides an attractive income vehicle [2]. The exceptionally strong insider buying — 18 purchases and zero sales across four executives in the past year totaling over $1 million — signals deep management conviction in the fund's undervaluation [5].</w:t>
      </w:r>
    </w:p>
    <w:p>
      <w:pPr>
        <w:spacing w:after="120"/>
      </w:pPr>
      <w:r>
        <w:rPr>
          <w:rFonts w:ascii="Calibri" w:hAnsi="Calibri"/>
          <w:b w:val="0"/>
          <w:color w:val="3A4A28"/>
          <w:sz w:val="20"/>
        </w:rPr>
        <w:t>The primary risk is KYN's structural vulnerability to energy commodity cycles and midstream sector-specific headwinds — the fund's 95% concentration in midstream energy creates zero diversification, and a sustained downturn in natural gas demand or production could compress the NAV and force distribution cuts as occurred during the 2020 oil crash [2]. The 3.3% expense ratio (including leverage costs) is elevated relative to passive midstream ETFs like AMLP (0.85%), creating a meaningful performance drag that management must overcome through security selection and leverage alpha. The persistent 11-17% discount to NAV, while representing a buying opportunity, also signals structural market skepticism about the CEF format's fee structure and governance. Several core financial metrics (revenue growth, profit margin) are not calculable in traditional terms for a closed-end fund, limiting the quantitative rigor of the Infrastructure assessment and potentially inflating the score by excluding weak metrics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record natural gas demand growth, directly increasing throughput volumes and distributable cash flow for KYN's midstream portfolio holdings</w:t>
      </w:r>
    </w:p>
    <w:p>
      <w:pPr>
        <w:spacing w:before="40" w:after="40"/>
        <w:ind w:left="283"/>
      </w:pPr>
      <w:r>
        <w:rPr>
          <w:rFonts w:ascii="Calibri" w:hAnsi="Calibri"/>
          <w:b/>
          <w:color w:val="4A6B25"/>
          <w:sz w:val="20"/>
        </w:rPr>
        <w:t xml:space="preserve">2. </w:t>
      </w:r>
      <w:r>
        <w:rPr>
          <w:rFonts w:ascii="Calibri" w:hAnsi="Calibri"/>
          <w:b w:val="0"/>
          <w:color w:val="3A4A28"/>
          <w:sz w:val="20"/>
        </w:rPr>
        <w:t>Persistent 11-17% discount to NAV combined with 18 insider purchases and zero sells creates a compelling setup for NAV convergence through share buybacks or market recognition</w:t>
      </w:r>
    </w:p>
    <w:p>
      <w:pPr>
        <w:spacing w:before="40" w:after="40"/>
        <w:ind w:left="283"/>
      </w:pPr>
      <w:r>
        <w:rPr>
          <w:rFonts w:ascii="Calibri" w:hAnsi="Calibri"/>
          <w:b/>
          <w:color w:val="4A6B25"/>
          <w:sz w:val="20"/>
        </w:rPr>
        <w:t xml:space="preserve">3. </w:t>
      </w:r>
      <w:r>
        <w:rPr>
          <w:rFonts w:ascii="Calibri" w:hAnsi="Calibri"/>
          <w:b w:val="0"/>
          <w:color w:val="3A4A28"/>
          <w:sz w:val="20"/>
        </w:rPr>
        <w:t>Distribution growth trajectory accelerating from $0.085 to $0.09 per month with potential for further increases as midstream free cash flow generation reaches record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95% concentration in midstream energy provides zero sector diversification — a sustained commodity downturn or natural gas demand contraction could compress NAV and force distribution cuts, as occurred during the 2020 oil crash when monthly distributions were reduced by more than 50%</w:t>
      </w:r>
    </w:p>
    <w:p>
      <w:pPr>
        <w:spacing w:before="40" w:after="40"/>
        <w:ind w:left="283"/>
      </w:pPr>
      <w:r>
        <w:rPr>
          <w:rFonts w:ascii="Calibri" w:hAnsi="Calibri"/>
          <w:b/>
          <w:color w:val="4A6B25"/>
          <w:sz w:val="20"/>
        </w:rPr>
        <w:t xml:space="preserve">2. </w:t>
      </w:r>
      <w:r>
        <w:rPr>
          <w:rFonts w:ascii="Calibri" w:hAnsi="Calibri"/>
          <w:b w:val="0"/>
          <w:color w:val="3A4A28"/>
          <w:sz w:val="20"/>
        </w:rPr>
        <w:t>3.3% total expense ratio (including leverage costs) creates a substantial performance drag relative to passive midstream ETFs, requiring consistent alpha generation from security selection to justify the cost structure</w:t>
      </w:r>
    </w:p>
    <w:p>
      <w:pPr>
        <w:spacing w:before="40" w:after="40"/>
        <w:ind w:left="283"/>
      </w:pPr>
      <w:r>
        <w:rPr>
          <w:rFonts w:ascii="Calibri" w:hAnsi="Calibri"/>
          <w:b/>
          <w:color w:val="4A6B25"/>
          <w:sz w:val="20"/>
        </w:rPr>
        <w:t xml:space="preserve">3. </w:t>
      </w:r>
      <w:r>
        <w:rPr>
          <w:rFonts w:ascii="Calibri" w:hAnsi="Calibri"/>
          <w:b w:val="0"/>
          <w:color w:val="3A4A28"/>
          <w:sz w:val="20"/>
        </w:rPr>
        <w:t>Closed-end fund structure exposes investors to discount volatility independent of portfolio performance — the NAV discount can widen during risk-off periods, amplifying losses beyond underlying portfolio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KYN's portfolio is 95% midstream energy infrastructure — pipelines, processing plants, gathering systems, and storage facilities that are physically immune to AI disruption [2]. These are essential physical-world assets that AI structurally cannot displace. Moreover, AI is a direct demand driver: hyperscale data centers are among the fastest-growing consumers of natural gas and electricity, directly increasing throughput volumes for the midstream assets KYN holds [1][6]. Kayne Anderson's investment team has explicitly identified 'budding AI beneficiaries' in energy infrastructure as a key investment opportunity [6]. The fund's power infrastructure allocation (3% of portfolio) captures additional AI-driven electricity demand. AI Opportunity (0/1): The fund uses an internal GPT for back-office streamlining but generates no revenue from AI products or services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Kayne Anderson Energy Infrastructure Fund NAV Report and Balance Sheet, June 30, 2026 — quiverquant.com</w:t>
      </w:r>
    </w:p>
    <w:p>
      <w:pPr>
        <w:spacing w:before="20" w:after="20"/>
        <w:ind w:left="170"/>
      </w:pPr>
      <w:r>
        <w:rPr>
          <w:rFonts w:ascii="Calibri" w:hAnsi="Calibri"/>
          <w:b/>
          <w:color w:val="4A6B25"/>
          <w:sz w:val="15"/>
        </w:rPr>
        <w:t xml:space="preserve">2. </w:t>
      </w:r>
      <w:r>
        <w:rPr>
          <w:rFonts w:ascii="Calibri" w:hAnsi="Calibri"/>
          <w:b w:val="0"/>
          <w:color w:val="3A4A28"/>
          <w:sz w:val="17"/>
        </w:rPr>
        <w:t>KYN Fund Profile and Investment Strategy — kaynefunds.com,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KYN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KYN Board Appointments: Hennigan, Ladhani, Mears, Shea, Walker, May 2026</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 Baker, Parker, Little, Hennigan Insider Purchases, March-June 2026</w:t>
      </w:r>
    </w:p>
    <w:p>
      <w:pPr>
        <w:spacing w:before="20" w:after="20"/>
        <w:ind w:left="170"/>
      </w:pPr>
      <w:r>
        <w:rPr>
          <w:rFonts w:ascii="Calibri" w:hAnsi="Calibri"/>
          <w:b/>
          <w:color w:val="4A6B25"/>
          <w:sz w:val="15"/>
        </w:rPr>
        <w:t xml:space="preserve">6. </w:t>
      </w:r>
      <w:r>
        <w:rPr>
          <w:rFonts w:ascii="Calibri" w:hAnsi="Calibri"/>
          <w:b w:val="0"/>
          <w:color w:val="3A4A28"/>
          <w:sz w:val="17"/>
        </w:rPr>
        <w:t>Kayne Anderson Capital Advisors — AI and Investment Philosophy, ADV Part 2A, March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