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LBRDK</w:t>
      </w:r>
      <w:r>
        <w:rPr>
          <w:rFonts w:ascii="Calibri" w:hAnsi="Calibri"/>
          <w:b/>
          <w:color w:val="1A2010"/>
          <w:sz w:val="40"/>
        </w:rPr>
        <w:t xml:space="preserve">  Liberty Broadband Corporation</w:t>
      </w:r>
    </w:p>
    <w:p>
      <w:pPr>
        <w:spacing w:after="120"/>
      </w:pPr>
      <w:r>
        <w:rPr>
          <w:rFonts w:ascii="Calibri" w:hAnsi="Calibri"/>
          <w:b/>
          <w:color w:val="6E8450"/>
          <w:sz w:val="18"/>
        </w:rPr>
        <w:t>GROWTH SLEEVE · 2026-08-04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United States</w:t>
      </w:r>
    </w:p>
    <w:p>
      <w:pPr>
        <w:spacing w:after="80"/>
      </w:pPr>
      <w:r>
        <w:rPr>
          <w:rFonts w:ascii="Calibri" w:hAnsi="Calibri"/>
          <w:b w:val="0"/>
          <w:color w:val="3A4A28"/>
          <w:sz w:val="20"/>
        </w:rPr>
        <w:t>Liberty Broadband Corporation is a holding company whose primary asset is a 28% equity stake in Charter Communications (CHTR), the second-largest U.S. cable operator. The company also owns GCI, Alaska's largest communications provider, which is being spun off prior to the pending all-stock acquisition by Charter. John Malone holds a controlling interest via supervoting shares. Stockholders approved the Charter acquisition in February 2025, and the company completed a share repurchase program retiring approximately 34% of outstanding shares.</w:t>
      </w:r>
    </w:p>
    <w:p>
      <w:r>
        <w:rPr>
          <w:rFonts w:ascii="Calibri" w:hAnsi="Calibri"/>
          <w:b/>
          <w:color w:val="6E8450"/>
          <w:sz w:val="18"/>
        </w:rPr>
        <w:t>2,000 Employees · https://www.libertybroadband.com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Liberty Broadband is primarily a holding company whose value derives from its Charter Communications equity stake and GCI operations in Alaska [1]. The completed buyback of 34% of outstanding shares is a significant capital allocation move but not product innovation. GCI continues operating as Alaska's largest telecom but has made no transformative product launches or pivots. AI Deployment (0/2): No AI deployment at the Liberty Broadband holding company level. Charter uses AI for dynamic pricing and network optimization, and GCI may use standard telecom AI tools, but no AI products are attributable to Liberty Broadband [2]. Market Share (1/2): Through Charter, Liberty Broadband has exposure to the second-largest U.S. cable operator with ~30M internet customers. GCI is the dominant communications provider in Alaska — a market leader in a small, isolated market [1]. Product Pipeline (0/2): No independent product pipeline. The company's sole strategic event is the pending Charter merger, not an innovation roadmap. R&amp;D Intensity (1/1): Not directly applicable — Liberty Broadband has no standalone R&amp;D. However, Charter invests substantially in DOCSIS 4.0 and fiber network upgrades that benefit Liberty Broadband's equity value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Liberty Broadband has no articulated mission, vision, or purpose statement beyond its corporate structure as a holding vehicle for John Malone's Charter investment [2]. The company website contains investor relations materials but no organizational purpose beyond shareholder value creation. Community Impact (1/2): GCI provides essential broadband and communications infrastructure to remote Alaskan communities, connecting rural populations that would otherwise lack connectivity — this has genuine social value, though it is the nature of the business rather than a charitable initiative [1]. Employee Retention (0/2): Liberty Broadband's holding company has minimal staff. GCI employees operate within a traditional telecom culture. No specific retention data or Glassdoor ratings for Liberty Broadband itself. Broader Liberty entity Glassdoor ratings are poor (2.7/5) [3]. Insider Buying (1/2): John Malone's controlling interest via supervoting shares represents decades-long alignment with common shareholders. The merger with Charter is structured to create value for all Liberty Broadband stockholders. However, no recent open-market insider purchases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forward P/E and PEG (unavailable). Liberty Broadband's financial profile reflects its dual nature as a holding company and GCI operator. D/E of 46.9% is comfortably below target, and profit margin of 78.1% (inflated by equity method income from Charter) scores at maximum [4]. ROE of 8.4% is below the 15% target but positive, scoring 0.56 — a significant improvement from the negative ROE in prior periods driven by impairment charges [4]. Revenue growth is modest at approximately 4% YoY (GCI operations) with an estimated 2% 5-year CAGR, reflecting the mature Alaska telecom market. The stock has rallied to $83.31, more than doubling from April levels, narrowing the discount to implied merger value. Daily dollar volume of approximately $83M clears the liquidity floor comfortably.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Liberty Broadband exists within John Malone's media empire — a structure designed for long-term value creation through financial engineering rather than operational excellence or purpose-driven leadership. The pending Charter merger is the terminal event for this holding company, which is inherently finite. Malone's decades-long track record of patient capital allocation earns some credit, but the absence of organizational purpose, culture, or teams makes this fundamentally a financial instrument, not an institution built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Liberty Broadband has no Just Cause — it exists as a financial holding vehicle with no mission, vision, or purpose beyond creating shareholder value through its Charter Communications stake [2]. The company will cease to exist upon the Charter merger closing. John Malone's broader philosophy of 'identifying high-quality, durable franchises with pricing power' has some enduring quality but is fundamentally about financial returns, not advancing a better future state.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Liberty Broadband has minimal direct employees at the holding company level. GCI employees operate within a traditional telecom culture. Glassdoor ratings across Liberty entities average 2.7/5, suggesting cultural challenges [3]. Greg Maffei stepped down as CEO at end of 2024, and the organizational structure is being dismantled via the Charter merger, providing no foundation for building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Malone's empire has historically acknowledged competitive threats constructively — the Charter merger itself reflects recognition that consolidated scale is necessary to compete against well-resourced tech competitors (Google Fiber, T-Mobile FWA, Starlink) in the broadband market [1]. The pension fund lawsuit alleging Malone 'engineered the transaction' to benefit himself notwithstanding, the strategic rationale acknowledges rivals' strengths driving necessary consolidation [5].</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Liberty Broadband demonstrated flexibility through the GCI spin-off to streamline the Charter merger, and the aggressive share buyback retiring 34% of outstanding shares [1]. Malone's broader empire has repeatedly restructured (Liberty Media, Liberty Interactive, Liberty TripAdvisor spin-offs and recombinations). However, Liberty Broadband has been a single-purpose vehicle since inception and is now terminating via merger — adaptation is financial, not strategic.</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Malone built his cable empire through decades of patient, contrarian capital allocation — accumulating Charter shares through Liberty Broadband when cable assets were undervalued [2]. The decision to retire 34% of shares via buyback was an aggressive capital allocation bet. However, the company's strategy is financial engineering rather than operational courage, and a pension fund lawsuit alleging self-dealing in the Charter merger raises governance concerns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Liberty Broadband shares have rallied to $83.31, reflecting improved Charter Communications fundamentals and narrowing NAV discount as the approved all-stock merger progresses toward closing [1]. The company's financial profile shows P/E of 15x, clean D/E of 46.9%, and a 78.1% profit margin boosted by equity method Charter income. The completed share buyback retiring 34% of outstanding shares concentrated value for remaining shareholders. GCI's dominant position in Alaska broadband adds operating diversification. Analyst median target of $97 implies 16% additional upside, and the merger arbitrage spread to implied Charter exchange value provides a valuation floor [4].</w:t>
      </w:r>
    </w:p>
    <w:p>
      <w:pPr>
        <w:spacing w:after="120"/>
      </w:pPr>
      <w:r>
        <w:rPr>
          <w:rFonts w:ascii="Calibri" w:hAnsi="Calibri"/>
          <w:b w:val="0"/>
          <w:color w:val="3A4A28"/>
          <w:sz w:val="20"/>
        </w:rPr>
        <w:t>The bear case is that Liberty Broadband is a pure derivative of Charter Communications, and Charter faces structural headwinds from fixed wireless access (T-Mobile, Verizon), fiber overbuilders (AT&amp;T, Frontier), and satellite (Starlink) competitors eroding its cable broadband monopoly [1]. The all-stock merger structure means Liberty Broadband shareholders become Charter shareholders — if CHTR shares decline, merger value declines proportionally. A pension fund lawsuit alleging Malone 'engineered the transaction to siphon money from Charter's public investors' creates governance risk [5]. The Inspire score of -62 (MISALIGNED, negative attribution: Sexually Explicit) reflects Charter's content distribution practices, limiting appeal to values-based investors. The company has no innovation engine, no organizational purpose, and will cease to exist upon merger completion.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Charter merger closing (expected concurrent with Charter-Cox combination) would eliminate remaining NAV discount and convert shares at the approved exchange ratio [1]</w:t>
      </w:r>
    </w:p>
    <w:p>
      <w:pPr>
        <w:spacing w:before="40" w:after="40"/>
        <w:ind w:left="283"/>
      </w:pPr>
      <w:r>
        <w:rPr>
          <w:rFonts w:ascii="Calibri" w:hAnsi="Calibri"/>
          <w:b/>
          <w:color w:val="4A6B25"/>
          <w:sz w:val="20"/>
        </w:rPr>
        <w:t xml:space="preserve">2. </w:t>
      </w:r>
      <w:r>
        <w:rPr>
          <w:rFonts w:ascii="Calibri" w:hAnsi="Calibri"/>
          <w:b w:val="0"/>
          <w:color w:val="3A4A28"/>
          <w:sz w:val="20"/>
        </w:rPr>
        <w:t>Charter broadband subscriber stabilization or recovery as DOCSIS 4.0 and fiber network upgrades improve competitive positioning against FWA and fiber overbuilders</w:t>
      </w:r>
    </w:p>
    <w:p>
      <w:pPr>
        <w:spacing w:before="40" w:after="40"/>
        <w:ind w:left="283"/>
      </w:pPr>
      <w:r>
        <w:rPr>
          <w:rFonts w:ascii="Calibri" w:hAnsi="Calibri"/>
          <w:b/>
          <w:color w:val="4A6B25"/>
          <w:sz w:val="20"/>
        </w:rPr>
        <w:t xml:space="preserve">3. </w:t>
      </w:r>
      <w:r>
        <w:rPr>
          <w:rFonts w:ascii="Calibri" w:hAnsi="Calibri"/>
          <w:b w:val="0"/>
          <w:color w:val="3A4A28"/>
          <w:sz w:val="20"/>
        </w:rPr>
        <w:t>GCI spin-off crystallizing standalone value for Alaska's largest communications provider prior to Charter merger completion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Charter broadband subscriber erosion accelerating as T-Mobile FWA, Starlink, and fiber overbuilders capture market share, compressing the value of Liberty Broadband's equity stake [1]</w:t>
      </w:r>
    </w:p>
    <w:p>
      <w:pPr>
        <w:spacing w:before="40" w:after="40"/>
        <w:ind w:left="283"/>
      </w:pPr>
      <w:r>
        <w:rPr>
          <w:rFonts w:ascii="Calibri" w:hAnsi="Calibri"/>
          <w:b/>
          <w:color w:val="4A6B25"/>
          <w:sz w:val="20"/>
        </w:rPr>
        <w:t xml:space="preserve">2. </w:t>
      </w:r>
      <w:r>
        <w:rPr>
          <w:rFonts w:ascii="Calibri" w:hAnsi="Calibri"/>
          <w:b w:val="0"/>
          <w:color w:val="3A4A28"/>
          <w:sz w:val="20"/>
        </w:rPr>
        <w:t>Pension fund self-dealing lawsuit against the Charter merger structure could delay closing or require modified terms that reduce value to Liberty Broadband shareholders [5]</w:t>
      </w:r>
    </w:p>
    <w:p>
      <w:pPr>
        <w:spacing w:before="40" w:after="40"/>
        <w:ind w:left="283"/>
      </w:pPr>
      <w:r>
        <w:rPr>
          <w:rFonts w:ascii="Calibri" w:hAnsi="Calibri"/>
          <w:b/>
          <w:color w:val="4A6B25"/>
          <w:sz w:val="20"/>
        </w:rPr>
        <w:t xml:space="preserve">3. </w:t>
      </w:r>
      <w:r>
        <w:rPr>
          <w:rFonts w:ascii="Calibri" w:hAnsi="Calibri"/>
          <w:b w:val="0"/>
          <w:color w:val="3A4A28"/>
          <w:sz w:val="20"/>
        </w:rPr>
        <w:t>Holding company leverage — debt secured by Charter shares creates margin-call-like risk if CHTR shares decline significantly before merger closing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Liberty Broadband's underlying asset — Charter Communications' cable broadband network — is physical infrastructure that AI cannot substitute [1]. AI actually increases demand for broadband connectivity as AI applications, cloud computing, and data-intensive services require more bandwidth. GCI's Alaska network is similarly immune as essential communications infrastructure in remote communities. However, AI-driven fixed wireless access competitors (T-Mobile, Verizon) are using AI network optimization to improve wireless broadband quality, creating substitution risk for cable. Starlink's satellite broadband is an AI-optimized competitor particularly threatening in GCI's rural Alaska market. AI Opportunity (0/1): Liberty Broadband generates no direct AI revenue. Charter and GCI use AI for customer service automation and network optimization, but these are cost-saving tools rather than revenue-generating AI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Liberty Broadband Q1 2026 Earnings — Net income $203M ($1.41 EPS), share buyback completion retiring 34% of shares, May 2026</w:t>
      </w:r>
    </w:p>
    <w:p>
      <w:pPr>
        <w:spacing w:before="20" w:after="20"/>
        <w:ind w:left="170"/>
      </w:pPr>
      <w:r>
        <w:rPr>
          <w:rFonts w:ascii="Calibri" w:hAnsi="Calibri"/>
          <w:b/>
          <w:color w:val="4A6B25"/>
          <w:sz w:val="15"/>
        </w:rPr>
        <w:t xml:space="preserve">2. </w:t>
      </w:r>
      <w:r>
        <w:rPr>
          <w:rFonts w:ascii="Calibri" w:hAnsi="Calibri"/>
          <w:b w:val="0"/>
          <w:color w:val="3A4A28"/>
          <w:sz w:val="17"/>
        </w:rPr>
        <w:t>Liberty Broadband Corporate Website, John Malone Investment Philosophy, Greg Maffei Departure,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Glassdoor — Liberty Entity Employee Reviews (2.7/5 average across Liberty companies),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LBRDK Key Statistics, Market Cap $11.6B, P/E 15x,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Bloomberg Law — Charter-Liberty Deal Scrutiny, Pension Fund Lawsuit Alleging Malone Self-Dealing,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