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w:t>
      </w:r>
      <w:r>
        <w:rPr>
          <w:rFonts w:ascii="Calibri" w:hAnsi="Calibri"/>
          <w:b/>
          <w:color w:val="1A2010"/>
          <w:sz w:val="40"/>
        </w:rPr>
        <w:t xml:space="preserve">  LendingClub Corporation</w:t>
      </w:r>
    </w:p>
    <w:p>
      <w:pPr>
        <w:spacing w:after="120"/>
      </w:pPr>
      <w:r>
        <w:rPr>
          <w:rFonts w:ascii="Calibri" w:hAnsi="Calibri"/>
          <w:b/>
          <w:color w:val="6E8450"/>
          <w:sz w:val="18"/>
        </w:rPr>
        <w:t>GROWTH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LendingClub Corporation (rebranded to Happen, Inc. in June 2026, ticker changed to HAPN) is a digital marketplace bank offering personal loans, auto refinancing, patient financing, and high-yield savings accounts. Originally founded as a peer-to-peer lending platform in 2006, the company acquired Radius Bank in 2021 and transformed into a full-service digital bank. Headquartered in San Francisco, California.</w:t>
      </w:r>
    </w:p>
    <w:p>
      <w:r>
        <w:rPr>
          <w:rFonts w:ascii="Calibri" w:hAnsi="Calibri"/>
          <w:b/>
          <w:color w:val="6E8450"/>
          <w:sz w:val="18"/>
        </w:rPr>
        <w:t>1,700 Employees · https://www.lendingclub.com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(2/2): LendingClub pioneered the marketplace lending model and successfully transformed from a P2P platform into a full-service digital bank through the 2021 Radius Bank acquisition [1]. The June 2026 rebrand to Happen, Inc. signals the next phase of digital banking evolution. Q1 2026 originations reached $2.67B (+31% YoY) with record pre-tax earnings of $67M [1]. AI/Technology Deployment (2/2): The company leverages proprietary AI/ML models for credit scoring and risk assessment that outperform traditional FICO-based underwriting, enabling approval of creditworthy borrowers traditional banks reject [2]. AI drives pricing optimization, fraud detection, and personalized product recommendations across the platform [2]. Market Share (1/2): Leading digital personal lending platform, but small relative to major banks in total consumer lending. Pipeline (1/2): Rebrand to Happen Bank signals expansion into broader financial services beyond personal loans, with full-year 2026 origination guidance of $11.6-12.6B [1]. R&amp;D Intensity (1/2): CTO Lukasz Strozek leads technology strategy across engineering, product management, and data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LendingClub's purpose — 'when members win, we win' — articulates an alignment between company and customer success, but is fundamentally a customer-value proposition rather than a transformative social vision [2]. The rebrand to 'Happen' aims to embody enabling financial possibility, a modest elevation. Community Impact (+1): The company focuses on financial inclusion, providing access to credit for borrowers underserved by traditional banks, with emphasis on fair pricing and transparency [3]. Employee Retention (+1): CEO Scott Sanborn has led since April 2016 (10 years), providing stability through the transformative bank acquisition and P2P-to-bank transition. However, the 2016 founder scandal under previous CEO Renaud Laplanche created lasting reputational damage. Insider Buying (+1): No significant recent insider buying activity identified beyond standard executive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Strong ROE of 13.7% approaching the 15% target, up dramatically from near-zero during the bank transformation years [1]. Revenue growth of approximately 27% YoY in 2025 and an estimated 5-year CAGR of 15%+ significantly exceed targets [1]. Forward P/E of 11.24 is well below the 20 target, indicating value territory [4]. Profit margin of approximately 10.2% is moderate but improving rapidly with Q1 2026 showing 20.5% net margin [1]. Debt-to-equity is elevated as expected for a bank (deposits as liabilities), scoring 0 on this metric. Liquidity floor easily cleared at $32.6M daily traded value. The exceptional forward P/E and revenue growth more than offset the bank-structure D/E penalty.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LendingClub demonstrates meaningful existential flexibility — pivoting from P2P lending through a regulatory crisis to a full digital bank, then rebranding to Happen — showing willingness to fundamentally reinvent the business. CEO Sanborn's decade of leadership through these transitions reflects courage. However, the company's language remains heavily focused on origination volumes and EPS growth rather than cause advancement, and the 2016 founder scandal exposed governance gaps that took years to overcome.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LendingClub's stated purpose of 'winning when customers win' and the Happen rebrand aspiration toward enabling financial possibility constitute a decent just cause for financial services [2]. The company genuinely serves underbanked consumers who lack access to fair-rate credit from traditional banks. However, the purpose is more transactional than transformative — improving financial access is valuable but not a generational vision that inspires sacrifice beyond commercial interest.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Sanborn's 10-year tenure provides leadership stability, and the company emphasizes collaboration across technology, risk, and customer functions [2]. However, the 2016 governance crisis under founder Laplanche — involving undisclosed conflicts of interest and data manipulation — left cultural scars. The company has rebuilt trust through transparency and regulatory compliance, but no specific employee satisfaction data or retention metrics were identified to validate current culture health.</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 competes against traditional banks (JPMorgan, Wells Fargo), fintech lenders (SoFi, Upstart), and BNPL providers (Affirm, Klarna) — a competitive landscape that forces continuous innovation [2]. The company acknowledges these rivals by differentiating on AI-driven underwriting accuracy and marketplace efficiency rather than trying to be all things to all people. The Happen rebrand reflects awareness that the competitive landscape requires brand evolution.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LendingClub executed one of fintech's most significant business model pivots — transforming from a peer-to-peer marketplace (original model) through a regulatory near-death experience (2016 scandal, P2P model questioned) to a full-service digital bank (Radius Bank acquisition 2021) and now to the Happen rebrand in 2026 [1][2]. Each pivot required abandoning core assumptions about the business. The willingness to acquire a bank charter, accept regulatory burden, and rebrand entirely demonstrates exceptional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Sanborn took the CEO role in the aftermath of the 2016 founder scandal when the company's survival was in question, showing personal courage [2]. The decision to acquire Radius Bank and transform the entire business model from asset-light marketplace to balance-sheet banking was a bold strategic bet that has paid off with record Q1 2026 earnings of $67M pre-tax [1]. The Happen rebrand in June 2026 shows willingness to leave behind brand equity to pursue a bigger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LendingClub delivered explosive growth in Q1 2026: originations of $2.67B (+31% YoY), total net revenue of $252.3M (+16%), and net income of $51.6M (+342% YoY) with ROTCE of 14.5% [1]. The company's AI-driven credit scoring platform creates a data moat — a decade of loan performance data trains ML models that outperform traditional underwriting. At 11.24x forward earnings with full-year 2026 EPS guidance of $1.65-$1.80 and origination guidance of $11.6-12.6B, the stock offers significant growth at a value multiple [4]. The bank charter acquired in 2021 provides deposit funding ($10.2B, +14% YoY) at lower cost than marketplace competitors, while CET1 of 17.0% provides substantial capital buffer [1]. The provision for credit losses collapsed to $0.4M in Q1 2026 (from $58.1M prior year), validating the AI model's credit accuracy.</w:t>
      </w:r>
    </w:p>
    <w:p>
      <w:pPr>
        <w:spacing w:after="120"/>
      </w:pPr>
      <w:r>
        <w:rPr>
          <w:rFonts w:ascii="Calibri" w:hAnsi="Calibri"/>
          <w:b w:val="0"/>
          <w:color w:val="3A4A28"/>
          <w:sz w:val="20"/>
        </w:rPr>
        <w:t>The bear case centers on credit cycle risk and competitive intensity: LendingClub's personal loan portfolio is concentrated in unsecured consumer credit — the most cyclically sensitive lending category. A recession could rapidly deteriorate credit quality and reverse the near-zero provision environment [1]. The beta of 1.94 reflects this cyclicality. Revenue growth is decelerating (16% in Q1 2026 vs. 27% for full-year 2025), and the Happen rebrand carries execution risk — brand transitions in financial services often cause customer confusion and acquisition cost increases. Competition from SoFi (which also has a bank charter), traditional banks investing in digital lending, and Upstart's AI underwriting creates pricing pressure. The high D/E (673%) reflects bank leverage that amplifies losses in downturns, and the absence of a dividend provides no downside cushion for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origination guidance of $11.6-12.6B (+30%+ YoY) with continued margin expansion as the credit model proves out through economic cycles [1]</w:t>
      </w:r>
    </w:p>
    <w:p>
      <w:pPr>
        <w:spacing w:before="40" w:after="40"/>
        <w:ind w:left="283"/>
      </w:pPr>
      <w:r>
        <w:rPr>
          <w:rFonts w:ascii="Calibri" w:hAnsi="Calibri"/>
          <w:b/>
          <w:color w:val="4A6B25"/>
          <w:sz w:val="20"/>
        </w:rPr>
        <w:t xml:space="preserve">2. </w:t>
      </w:r>
      <w:r>
        <w:rPr>
          <w:rFonts w:ascii="Calibri" w:hAnsi="Calibri"/>
          <w:b w:val="0"/>
          <w:color w:val="3A4A28"/>
          <w:sz w:val="20"/>
        </w:rPr>
        <w:t>Happen rebrand and product expansion beyond personal loans into broader digital banking services, increasing customer lifetime value and cross-sell opportunities</w:t>
      </w:r>
    </w:p>
    <w:p>
      <w:pPr>
        <w:spacing w:before="40" w:after="40"/>
        <w:ind w:left="283"/>
      </w:pPr>
      <w:r>
        <w:rPr>
          <w:rFonts w:ascii="Calibri" w:hAnsi="Calibri"/>
          <w:b/>
          <w:color w:val="4A6B25"/>
          <w:sz w:val="20"/>
        </w:rPr>
        <w:t xml:space="preserve">3. </w:t>
      </w:r>
      <w:r>
        <w:rPr>
          <w:rFonts w:ascii="Calibri" w:hAnsi="Calibri"/>
          <w:b w:val="0"/>
          <w:color w:val="3A4A28"/>
          <w:sz w:val="20"/>
        </w:rPr>
        <w:t>Near-zero provision for credit losses in Q1 2026 ($0.4M vs $58.1M prior year) suggests potential for significant earnings upside if credit quality remains stable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exposure to unsecured consumer credit creates severe recession vulnerability — a credit cycle downturn could rapidly reverse the near-zero provision environment and compress earnings [1]</w:t>
      </w:r>
    </w:p>
    <w:p>
      <w:pPr>
        <w:spacing w:before="40" w:after="40"/>
        <w:ind w:left="283"/>
      </w:pPr>
      <w:r>
        <w:rPr>
          <w:rFonts w:ascii="Calibri" w:hAnsi="Calibri"/>
          <w:b/>
          <w:color w:val="4A6B25"/>
          <w:sz w:val="20"/>
        </w:rPr>
        <w:t xml:space="preserve">2. </w:t>
      </w:r>
      <w:r>
        <w:rPr>
          <w:rFonts w:ascii="Calibri" w:hAnsi="Calibri"/>
          <w:b w:val="0"/>
          <w:color w:val="3A4A28"/>
          <w:sz w:val="20"/>
        </w:rPr>
        <w:t>Happen rebrand execution risk — financial services brand transitions often cause customer confusion, increased acquisition costs, and temporary growth deceleration during the transition period</w:t>
      </w:r>
    </w:p>
    <w:p>
      <w:pPr>
        <w:spacing w:before="40" w:after="40"/>
        <w:ind w:left="283"/>
      </w:pPr>
      <w:r>
        <w:rPr>
          <w:rFonts w:ascii="Calibri" w:hAnsi="Calibri"/>
          <w:b/>
          <w:color w:val="4A6B25"/>
          <w:sz w:val="20"/>
        </w:rPr>
        <w:t xml:space="preserve">3. </w:t>
      </w:r>
      <w:r>
        <w:rPr>
          <w:rFonts w:ascii="Calibri" w:hAnsi="Calibri"/>
          <w:b w:val="0"/>
          <w:color w:val="3A4A28"/>
          <w:sz w:val="20"/>
        </w:rPr>
        <w:t>Beta of 1.94 reflects extreme stock price volatility; intense competition from SoFi, Upstart, and traditional bank digital lending programs creates ongoing pricing pressure and customer acquisition cost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LendingClub's core business of credit underwriting and marketplace lending is heavily AI-dependent already — the company's proprietary ML models ARE its competitive advantage rather than a threat to it [2]. AI-native fintechs could potentially disrupt, but LendingClub's decade of loan performance data creates a training-data moat that new entrants cannot easily replicate. The regulated banking charter provides a structural moat that AI-only competitors cannot bypass without obtaining their own charters. Risk: AI commoditization of credit scoring could eventually level the underwriting advantage, and AI-powered chatbots could reduce the need for loan officers. The provision for credit losses dropping from $58.1M to $0.4M YoY in Q1 2026 demonstrates the AI model's predictive accuracy [1]. AI Opportunity (1/1): AI is the foundation of the business model — better ML models directly translate to better risk-adjusted returns, lower default rates, more efficient marketing, and personalized financial products [2]. The company is well-positioned to deploy AI across customer service, fraud prevention, and product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LendingClub Q1 2026 Earnings Press Release — PRNewswire /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LendingClub CEO Scott Sanborn Leadership, AI Strategy, and Company Culture — The Financial Brand, LendingClub.com, Clay.com,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LendingClub ESG Report and Corporate Responsibility — Scribd, Yahoo Finance Sustainability, ResponsibilityReports.com,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LendingClub/Happen (LC/HAPN) Financial Statistics — StockAnalysis.com, Investing.com,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