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LFST</w:t>
      </w:r>
      <w:r>
        <w:rPr>
          <w:rFonts w:ascii="Calibri" w:hAnsi="Calibri"/>
          <w:b/>
          <w:color w:val="1A2010"/>
          <w:sz w:val="40"/>
        </w:rPr>
        <w:t xml:space="preserve">  LifeStance Health Group, Inc.</w:t>
      </w:r>
    </w:p>
    <w:p>
      <w:pPr>
        <w:spacing w:after="120"/>
      </w:pPr>
      <w:r>
        <w:rPr>
          <w:rFonts w:ascii="Calibri" w:hAnsi="Calibri"/>
          <w:b/>
          <w:color w:val="6E8450"/>
          <w:sz w:val="18"/>
        </w:rPr>
        <w:t>GROWTH SLEEVE · 2026-07-16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LifeStance Health is one of the nation's largest providers of outpatient mental health services, delivering therapy, psychiatry, TMS (transcranial magnetic stimulation), and ketamine therapies both in-person and via telehealth. The company operates across 33 states with over 8,300 clinicians and 2.5 million quarterly patient visits. Founded in 2017 and IPO'd in 2021, LifeStance is headquartered in Scottsdale, Arizona.</w:t>
      </w:r>
    </w:p>
    <w:p>
      <w:r>
        <w:rPr>
          <w:rFonts w:ascii="Calibri" w:hAnsi="Calibri"/>
          <w:b/>
          <w:color w:val="6E8450"/>
          <w:sz w:val="18"/>
        </w:rPr>
        <w:t>10,500 Employees · https://www.lifestance.com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(2/2): LifeStance has rapidly scaled to become the largest outpatient mental health provider in the U.S., growing from IPO in 2021 to 8,349 clinicians (+11% YoY) serving 2.5M quarterly visits (+18% YoY) in Q1 2026 [1]. Revenue has more than doubled from $667M (2021) to $1.42B (2025) while achieving profitability in 2025. AI/Technology Deployment (1/2): The company uses AI for scheduling optimization, reducing time between patient outreach and provider appointment, and has invested in clinician productivity tools to reduce administrative burden [2]. A new EHR platform and digital therapeutics are in development but not yet deployed [2]. Market Share (1/2): Largest outpatient mental health provider in the U.S. by clinician count, but the market remains highly fragmented with thousands of solo and small-group practices. Pipeline (1/2): Plans for digital therapeutics expansion, new EHR platform investment, and continued geographic expansion across additional states [2]. R&amp;D Intensity (1/2): Hired healthcare tech veteran Vaughn Paunovich as CTO (from UnitedHealth/Amwell) to lead digital strategy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LifeStance's mission of making mental healthcare accessible to everyone in need connects to one of the most pressing public health crises — the mental health epidemic affecting millions of Americans who lack access to timely, quality care [2]. This is genuinely compelling. Community Impact (+1): Expanding mental health access to 33 states, addressing provider shortages through telehealth, and training new clinicians creates measurable community benefit. Employee Retention (-1): Significant red flags — two labor lawsuits in 2023 alleged payment schemes constituting 'indentured servitude,' a $50M shareholder settlement in 2024 for misleading investors about clinician retention rates, and multiple billing complaints uncovered through FOIA requests [3]. CEO turnover (Dave Bourdon promoted from CFO in March 2025) adds instability. Insider Buying (+0): No meaningful insider buying identified beyond compensation-related activity.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Debt-to-equity of 32% is excellent, well below the 70% target [4]. Revenue growth is strong — 13.86% YoY for 2025 and approximately 21% 5-year CAGR both exceed the 10% target [1]. However, major drags include Forward P/E of 71.51 (well above the 60 floor, scoring 0), ROE of only 1.58% reflecting the company's recent turn to profitability [4], and profit margin of 0.68% in 2025 (barely positive after years of losses) [4]. The company just crossed into profitability in 2025 with $9.66M net income after cumulative losses exceeding $766M. Liquidity floor cleared at $32.6M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LifeStance's just cause — making mental healthcare accessible to everyone — is genuinely compelling and connects to one of the most significant public health challenges of our era. However, the company's execution has prioritized aggressive growth over organizational health, resulting in labor lawsuits, clinician retention problems, and billing complaints that undermine the stated mission. The recent leadership change (new CEO from CFO role in March 2025) signals course correction, but the infinite game requires consistency over time that LifeStance has not yet demonstrated.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mental healthcare accessible to every American in need is an urgent, compelling just cause that connects to millions of untreated individuals suffering from the provider shortage [2]. The cause is durable (mental health demand is structural, not cyclical), inclusive (spans all demographics), and oriented toward a future better than today. LifeStance's scale — 8,349 clinicians across 33 states — translates this cause into measurable impact. The cause loses partial marks because the company's execution (billing practices, labor disputes) has sometimes contradicted the stated mission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Significant trust deficits evidenced by two 2023 labor lawsuits alleging payment schemes that employees characterized as 'indentured servitude' — forcing new clinicians to repay salary advances if productivity standards weren't met [3]. A $50M shareholder settlement in January 2024 for allegedly misleading investors about clinician retention rates suggests systemic culture issues [3]. Multiple billing complaints uncovered through FOIA requests indicate operational integrity gaps. New CTO Vaughn Paunovich and CEO Dave Bourdon may be rebuilding trust, but the track record creates a low floor.</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LifeStance operates in a competitive landscape including Talkspace and BetterHelp (telehealth therapy), Headway (therapist marketplace), traditional group practices, and hospital-based programs. CEO Bourdon acknowledged that large mental health company valuations are 'dislocated from reality,' suggesting healthy self-awareness of competitive positioning [2]. The fragmented market means no single rival dominates, but the competition for clinician recruitment is fierce and drives up labor costs.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LifeStance has shown moderate flexibility in expanding from in-person therapy to hybrid telehealth/in-person delivery and investing in digital therapeutics and EHR platform modernization [2]. The company has pivoted from pure growth-at-all-costs (2021-2023) to margin-focused discipline (2024-2026) under new leadership. However, the core business model — hiring clinicians, billing insurance — has not fundamentally changed, and the company has not yet demonstrated willingness to pursue adjacent models (digital-only, AI-assisted therapy, employer direct contracts).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February 2025 leadership restructuring — promoting CFO Bourdon to CEO and bringing in new CFO McGroarty — signals financial discipline prioritization over growth-at-all-costs [2]. However, this change was reactive (following years of losses, lawsuits, and investor pressure) rather than proactive courageous leadership. The company has not publicly acknowledged or addressed the labor practice controversies with transparency. Building 8,349-clinician operations across 33 states in under 7 years shows operational ambition, though execution quality has been inconsistent.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LifeStance Health delivered Q1 2026 revenue of $403.5M (+21% YoY) with net income of $14.2M and Adjusted EBITDA of $51.1M (+48% YoY), demonstrating the inflection from years of losses to accelerating profitability [1]. The company raised full-year 2026 guidance to $1.64-1.68B revenue and $200-220M Adjusted EBITDA. With 8,349 clinicians (+11% YoY) and 2.5M quarterly visits (+18% YoY), LifeStance is the largest outpatient mental health provider in the U.S. addressing a massive structural shortage of mental health services. The market remains highly fragmented (thousands of solo practices), providing a long runway for consolidation. Revenue growth of 21% at the current scale, combined with center margin expansion to 33.7%, suggests operating leverage is finally materializing after years of investment.</w:t>
      </w:r>
    </w:p>
    <w:p>
      <w:pPr>
        <w:spacing w:after="120"/>
      </w:pPr>
      <w:r>
        <w:rPr>
          <w:rFonts w:ascii="Calibri" w:hAnsi="Calibri"/>
          <w:b w:val="0"/>
          <w:color w:val="3A4A28"/>
          <w:sz w:val="20"/>
        </w:rPr>
        <w:t>The bear case centers on valuation, profitability path, and operational controversies. At 187x trailing P/E and 71.5x forward P/E, the stock prices in years of perfect execution with no margin for error [4]. The company only turned profitable in 2025 after cumulative losses exceeding $766M — one bad quarter could return it to red. Labor lawsuits alleging 'indentured servitude' payment practices and a $50M shareholder settlement for misleading retention disclosures raise governance concerns [3]. Clinician recruitment remains the binding constraint — the 11% clinician growth rate determines the revenue ceiling. Insurance reimbursement rate pressure and potential changes to telehealth parity regulations post-pandemic could compress margins. The stock has tripled from its $3.74 low, limiting upside from current levels unless profitability dramatically exceeds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guidance raised to $200-220M for FY2026, representing nearly 4x improvement from FY2024 levels, with center margin expansion demonstrating operating leverage at scale [1]</w:t>
      </w:r>
    </w:p>
    <w:p>
      <w:pPr>
        <w:spacing w:before="40" w:after="40"/>
        <w:ind w:left="283"/>
      </w:pPr>
      <w:r>
        <w:rPr>
          <w:rFonts w:ascii="Calibri" w:hAnsi="Calibri"/>
          <w:b/>
          <w:color w:val="4A6B25"/>
          <w:sz w:val="20"/>
        </w:rPr>
        <w:t xml:space="preserve">2. </w:t>
      </w:r>
      <w:r>
        <w:rPr>
          <w:rFonts w:ascii="Calibri" w:hAnsi="Calibri"/>
          <w:b w:val="0"/>
          <w:color w:val="3A4A28"/>
          <w:sz w:val="20"/>
        </w:rPr>
        <w:t>New EHR platform and digital therapeutics investment could unlock clinician productivity gains and expand the treatable patient population beyond traditional therapy sessions [2]</w:t>
      </w:r>
    </w:p>
    <w:p>
      <w:pPr>
        <w:spacing w:before="40" w:after="40"/>
        <w:ind w:left="283"/>
      </w:pPr>
      <w:r>
        <w:rPr>
          <w:rFonts w:ascii="Calibri" w:hAnsi="Calibri"/>
          <w:b/>
          <w:color w:val="4A6B25"/>
          <w:sz w:val="20"/>
        </w:rPr>
        <w:t xml:space="preserve">3. </w:t>
      </w:r>
      <w:r>
        <w:rPr>
          <w:rFonts w:ascii="Calibri" w:hAnsi="Calibri"/>
          <w:b w:val="0"/>
          <w:color w:val="3A4A28"/>
          <w:sz w:val="20"/>
        </w:rPr>
        <w:t>Mental health demand remains structurally undersupplied — estimated 160M Americans live in Mental Health Professional Shortage Areas, providing a multi-year growth runway independent of economic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(71.5x forward P/E) leaves no margin for execution error; any growth deceleration or margin compression would trigger significant multiple contraction [4]</w:t>
      </w:r>
    </w:p>
    <w:p>
      <w:pPr>
        <w:spacing w:before="40" w:after="40"/>
        <w:ind w:left="283"/>
      </w:pPr>
      <w:r>
        <w:rPr>
          <w:rFonts w:ascii="Calibri" w:hAnsi="Calibri"/>
          <w:b/>
          <w:color w:val="4A6B25"/>
          <w:sz w:val="20"/>
        </w:rPr>
        <w:t xml:space="preserve">2. </w:t>
      </w:r>
      <w:r>
        <w:rPr>
          <w:rFonts w:ascii="Calibri" w:hAnsi="Calibri"/>
          <w:b w:val="0"/>
          <w:color w:val="3A4A28"/>
          <w:sz w:val="20"/>
        </w:rPr>
        <w:t>Operational integrity concerns: labor lawsuits alleging exploitative payment practices, $50M shareholder settlement, and billing complaints uncovered through FOIA requests signal cultural and governance weaknesses [3]</w:t>
      </w:r>
    </w:p>
    <w:p>
      <w:pPr>
        <w:spacing w:before="40" w:after="40"/>
        <w:ind w:left="283"/>
      </w:pPr>
      <w:r>
        <w:rPr>
          <w:rFonts w:ascii="Calibri" w:hAnsi="Calibri"/>
          <w:b/>
          <w:color w:val="4A6B25"/>
          <w:sz w:val="20"/>
        </w:rPr>
        <w:t xml:space="preserve">3. </w:t>
      </w:r>
      <w:r>
        <w:rPr>
          <w:rFonts w:ascii="Calibri" w:hAnsi="Calibri"/>
          <w:b w:val="0"/>
          <w:color w:val="3A4A28"/>
          <w:sz w:val="20"/>
        </w:rPr>
        <w:t>Clinician recruitment as binding constraint — competition for licensed therapists and psychiatrists with hospital systems, private equity-backed competitors, and telehealth platforms creates wage inflation pressure that could cap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Mental healthcare delivery — therapy and psychiatry — requires deep human connection, clinical judgment, and the therapeutic alliance that AI fundamentally cannot replicate [2]. Licensed therapists and psychiatrists are protected by state licensing requirements, insurance credentialing, and the irreplaceable nature of human empathy in clinical settings. LifeStance's 8,349 clinicians represent a human capital moat. Moderate risk exists from AI-powered therapy chatbots (Woebot, Wysa) competing at the low-severity end of the mental health spectrum, potentially diverting mild-case patients away from traditional therapy. AI also creates efficiency gains that reduce billable hours (fewer sessions needed if AI-assisted tools accelerate treatment) [2]. AI Opportunity (1/1): AI is a meaningful enabler for LifeStance — scheduling optimization reduces patient wait times, clinical decision support tools enhance treatment efficacy, and AI-powered administrative tools reduce the 40%+ of clinician time spent on documentation, directly improving margins [2]. Digital therapeutics represent an AI-enabled growth vector.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LifeStance Health Q1 2026 Earnings Press Release and Full Year 2025 Results — Investor.LifeStance.com / SEC Form 8-K, May 2026 and February 2026</w:t>
      </w:r>
    </w:p>
    <w:p>
      <w:pPr>
        <w:spacing w:before="20" w:after="20"/>
        <w:ind w:left="170"/>
      </w:pPr>
      <w:r>
        <w:rPr>
          <w:rFonts w:ascii="Calibri" w:hAnsi="Calibri"/>
          <w:b/>
          <w:color w:val="4A6B25"/>
          <w:sz w:val="15"/>
        </w:rPr>
        <w:t xml:space="preserve">2. </w:t>
      </w:r>
      <w:r>
        <w:rPr>
          <w:rFonts w:ascii="Calibri" w:hAnsi="Calibri"/>
          <w:b w:val="0"/>
          <w:color w:val="3A4A28"/>
          <w:sz w:val="17"/>
        </w:rPr>
        <w:t>LifeStance Health CEO Leadership, AI Strategy, and Culture — Behavioral Health Business, StockTitan, Clay.com, LinkedIn,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LifeStance Health ESG Controversies, Labor Lawsuits, and Governance — Wikipedia, The Bear Cave (Edwin Dorsey), Behavioral Health Business, Sustainalytics,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LifeStance Health Group (LFST) Financial Statistics — StockAnalysis.com, MacroTrends,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