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LHX</w:t>
      </w:r>
      <w:r>
        <w:rPr>
          <w:rFonts w:ascii="Calibri" w:hAnsi="Calibri"/>
          <w:b/>
          <w:color w:val="1A2010"/>
          <w:sz w:val="40"/>
        </w:rPr>
        <w:t xml:space="preserve">  L3Harris Technologies, Inc.</w:t>
      </w:r>
    </w:p>
    <w:p>
      <w:pPr>
        <w:spacing w:after="120"/>
      </w:pPr>
      <w:r>
        <w:rPr>
          <w:rFonts w:ascii="Calibri" w:hAnsi="Calibri"/>
          <w:b/>
          <w:color w:val="6E8450"/>
          <w:sz w:val="18"/>
        </w:rPr>
        <w:t>GROWTH SLEEVE · 2026-07-28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Aerospace &amp; Defense · NYSE · United States</w:t>
      </w:r>
    </w:p>
    <w:p>
      <w:pPr>
        <w:spacing w:after="80"/>
      </w:pPr>
      <w:r>
        <w:rPr>
          <w:rFonts w:ascii="Calibri" w:hAnsi="Calibri"/>
          <w:b w:val="0"/>
          <w:color w:val="3A4A28"/>
          <w:sz w:val="20"/>
        </w:rPr>
        <w:t>L3Harris Technologies is a global aerospace and defense technology company providing mission-critical solutions across three segments: Space &amp; Mission Systems (satellite and missile defense), Communications &amp; Spectrum Dominance (tactical radios, broadband, night vision), and Missile Solutions (propulsion, hypersonics). Formed through the 2019 merger of L3 Technologies and Harris Corporation with the 2023 Aerojet Rocketdyne acquisition adding vertical propulsion integration. Headquartered in Melbourne, Florida.</w:t>
      </w:r>
    </w:p>
    <w:p>
      <w:r>
        <w:rPr>
          <w:rFonts w:ascii="Calibri" w:hAnsi="Calibri"/>
          <w:b/>
          <w:color w:val="6E8450"/>
          <w:sz w:val="18"/>
        </w:rPr>
        <w:t>45,000 Employees · https://www.l3harris.com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2019 L3-Harris merger and 2023 Aerojet Rocketdyne acquisition ($4.7B) fundamentally transformed the company into a vertically integrated defense prime with propulsion, satellite, missile, and communications capabilities [1]. Q1 2026 revenue surged 12% YoY to $5.74B (+15% organic), with record backlog of $40.7B validating the strategic transformation [1]. AI Deployment (2/2): L3Harris deploys AI with measurable results through its strategic partnership with Palantir Technologies, integrating AI/ML capabilities into defense production via Palantir's Warp Speed and AIP platforms [2]. The Shield AI partnership demonstrated AI-powered counter-UAS systems, and the company has been tapped for the Pentagon's Golden Dome missile defense program using commercial AI partners [2]. Market Share (2/2): L3Harris is the 6th largest US defense contractor and a category leader in tactical communications, space-based ISR, and missile propulsion; Q1 2026 international book-to-bill of 2.2x demonstrates share gains in allied markets [1]. Pipeline (1/2): Record $40.7B backlog (2x annual revenue) with $25B of pending MAC orders under negotiation provides multi-year visibility, but specific next-gen product launches are framed as program ramps rather than named product introductions [1]. R&amp;D Intensity (0/1): Defense R&amp;D is largely customer-funded; L3Harris's internal R&amp;D spending is in line with but not demonstrably above peer defense primes.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L3Harris's positioning as 'The Trusted Disruptor' with tagline 'Fast. Forward.' reflects genuine intentionality about combining defense mission criticality with commercial technology speed [2]. The company explicitly connects its work to national security outcomes and has articulated a distinctive approach — bringing commercial AI innovation to defense at speed — that differentiates from traditional primes. Community Impact (1/2): L3Harris employs 45,000 people, has committed to ambitious 2030 sustainability goals (60% GHG reduction, 40% renewable electricity), and ranks 4th best ESG risk rating among 95 global A&amp;D companies per Sustainalytics [3]. Employee Retention (1/2): Glassdoor rating of 3.6/5 with 5,100+ reviews reflects mixed sentiment; employees praise work-life balance (3.9/5) and career opportunities but express concerns about senior leadership disconnection and favoritism, with some reviews describing 'toxic culture' and 'zero leadership' [2]. Insider Buying (1/2): CEO Kubasik has meaningful equity exposure through compensation, and 44+ consecutive years of dividend increases (across predecessor companies) demonstrate institutional commitment to long-term shareholder returns.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for a Growth stock. Q1 2026 delivered $5.74B revenue (+12% YoY, +15% organic), GAAP EPS of $2.72 (+33%), and segment operating margin of 15.7% [1]. Full-year 2026 guidance raised to $23-23.5B revenue and $11.40-11.60 EPS with ~$3.0B FCF target. D/E of 57.7% is below the 70% target (score 1.0), and ROE of 8.2% is below 15% (score 0.55) [4]. Revenue growth of 12% YoY scores 1.0, and 5yr CAGR of ~8% scores 0.87. Forward P/E of ~31x is higher than the 20x target (score 0.73) and PEG of ~2.0 scores 0.50. Profit margin of ~10% scores 0.50. Calculation: D/E 1.0×1 + ROE 0.55×2 + RevYoY 1.0×1 + Rev5yr 0.87×2 + FwdPE 0.73×1 + ProfMgn 0.50×1 + PEG 0.50×2 = 7.05/10 → 7. Liquidity: ~1.4M avg vol × $350 = $490M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L3Harris traces its roots to 1895 and has survived multiple defense industry consolidation waves, demonstrating institutional resilience. The 2019 merger and 2023 Aerojet acquisition show transformative flexibility, and the 'Trusted Disruptor' positioning with commercial AI partnerships reflects ambitious strategic vision. However, Glassdoor concerns about leadership quality and organizational culture suggest the company's strategic ambition may not be matched by its operational foundation.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L3Harris's purpose — protecting national security through mission-critical technology — has been validated by 130+ years of continuous operation across predecessor companies, surviving two world wars, the Cold War, and multiple defense consolidation cycles [1]. The 'Trusted Disruptor' positioning adds a forward dimension: bringing commercial technology speed to defense needs. The 2019 merger and Aerojet acquisition were explicitly framed around this cause, and the Palantir/Shield AI partnerships extend it into AI-enabled defense.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3.6/5 reveals mixed trust signals. Work-life balance (3.9/5) and career opportunities are strengths, but employees cite senior leadership disconnection, unrealistic project budgets, favoritism, and some reviews describe 'toxic culture' and 'zero leadership' [2]. For a 45,000-person defense organization, this is approximately average — neither exceptional nor alarming. Security clearance requirements create structural retention in defense.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Rather than treating emerging defense tech companies as threats, L3Harris has partnered with Palantir and Shield AI, demonstrating willingness to acknowledge competitors' AI and software strengths and integrate them into defense solutions [2]. This is an infinite competitive response — using rivals' capabilities to strengthen your own offering rather than pursuing a not-invented-here approach.</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L3Harris has undergone two transformative reinventions in recent years: the 2019 merger of L3 Technologies and Harris Corporation created a new defense prime from two mid-tier contractors, and the 2023 Aerojet Rocketdyne acquisition ($4.7B) fundamentally reshaped the company by adding rocket propulsion and vertical integration [1]. Both moves were strategic rather than defensive, driven by a vision of the next-generation defense prime. The company chose to blow up two separate businesses to build something new.</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Chris Kubasik demonstrated courage in pursuing the Aerojet Rocketdyne acquisition despite FTC opposition (initially blocked, then resolved), and in investing in AI partnerships with commercial tech companies when traditional defense culture resists external innovation [2]. The commitment to 2030 sustainability goals (60% GHG reduction) in a defense company shows willingness to invest in long-term capability. However, Glassdoor reports of cost-cutting project budgets suggest courage at the strategic level may not translate to operational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L3Harris delivered a breakout Q1 2026 — revenue surged 12% YoY to $5.74B (+15% organic), GAAP EPS jumped 33% to $2.72, and orders of $7.8B drove book-to-bill to 1.4x with record backlog of $40.7B (2x annual revenue) plus $25B of pending Munitions Acceleration Council orders under negotiation [1]. Management raised full-year guidance to $23-23.5B revenue and $11.40-11.60 EPS with ~$3.0B FCF target. International book-to-bill of 2.2x reflects NATO and allied defense spending acceleration. The Palantir AI partnership and Golden Dome missile defense program position L3Harris to capture the AI-enabled defense modernization wave [2]. At ~$350/share with 44 consecutive years of dividend payments and a conservative D/E of 57.7%, the stock offers defense exposure with financial discipline.</w:t>
      </w:r>
    </w:p>
    <w:p>
      <w:pPr>
        <w:spacing w:after="120"/>
      </w:pPr>
      <w:r>
        <w:rPr>
          <w:rFonts w:ascii="Calibri" w:hAnsi="Calibri"/>
          <w:b w:val="0"/>
          <w:color w:val="3A4A28"/>
          <w:sz w:val="20"/>
        </w:rPr>
        <w:t>The bear case centers on elevated valuation and defense budget cyclicality. At ~31x forward P/E (PEG ~2.0) and trailing PE of ~43x, L3Harris is priced for sustained double-digit growth that depends on continued defense spending increases — politically uncertain given deficit reduction pressures [4]. ROE of 8.2% remains well below the 15% target, weighed down by the $19.6B+ equity base inflated by acquisition goodwill from L3 and Aerojet — any future write-downs could materially impact returns. The Aerojet integration adds operational complexity, and Glassdoor reviews describing 'toxic culture' and leadership disconnection suggest margin expansion may come at the cost of engineering talent retention [2]. D/E increased from 34.6% to 57.7%, reflecting higher leverage. Dividend yield of 1.4% is below the 2% threshold for income investors despite the long payment streak, limiting income appeal.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Pentagon Golden Dome missile defense program contracts and continued AI integration through Palantir and Shield AI partnerships, driving high-margin technology revenue growth [2]</w:t>
      </w:r>
    </w:p>
    <w:p>
      <w:pPr>
        <w:spacing w:before="40" w:after="40"/>
        <w:ind w:left="283"/>
      </w:pPr>
      <w:r>
        <w:rPr>
          <w:rFonts w:ascii="Calibri" w:hAnsi="Calibri"/>
          <w:b/>
          <w:color w:val="4A6B25"/>
          <w:sz w:val="20"/>
        </w:rPr>
        <w:t xml:space="preserve">2. </w:t>
      </w:r>
      <w:r>
        <w:rPr>
          <w:rFonts w:ascii="Calibri" w:hAnsi="Calibri"/>
          <w:b w:val="0"/>
          <w:color w:val="3A4A28"/>
          <w:sz w:val="20"/>
        </w:rPr>
        <w:t>Record $40.7B backlog conversion into revenue through 2027-2028, with $25B of pending MAC orders providing additional upside if awarded [1]</w:t>
      </w:r>
    </w:p>
    <w:p>
      <w:pPr>
        <w:spacing w:before="40" w:after="40"/>
        <w:ind w:left="283"/>
      </w:pPr>
      <w:r>
        <w:rPr>
          <w:rFonts w:ascii="Calibri" w:hAnsi="Calibri"/>
          <w:b/>
          <w:color w:val="4A6B25"/>
          <w:sz w:val="20"/>
        </w:rPr>
        <w:t xml:space="preserve">3. </w:t>
      </w:r>
      <w:r>
        <w:rPr>
          <w:rFonts w:ascii="Calibri" w:hAnsi="Calibri"/>
          <w:b w:val="0"/>
          <w:color w:val="3A4A28"/>
          <w:sz w:val="20"/>
        </w:rPr>
        <w:t>International defense spending surge — NATO 2% GDP commitments and Indo-Pacific security concerns driving 2.2x international book-to-bill, expanding addressable market beyond US DoD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Defense budget uncertainty — political shifts toward deficit reduction or spending caps could constrain the 12%+ revenue growth trajectory that supports the ~31x forward P/E valuation [1][4]</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risk — PEG of ~2.0 and trailing PE of ~43x leave minimal margin of safety; any execution miss or growth deceleration could trigger significant multiple compression</w:t>
      </w:r>
    </w:p>
    <w:p>
      <w:pPr>
        <w:spacing w:before="40" w:after="40"/>
        <w:ind w:left="283"/>
      </w:pPr>
      <w:r>
        <w:rPr>
          <w:rFonts w:ascii="Calibri" w:hAnsi="Calibri"/>
          <w:b/>
          <w:color w:val="4A6B25"/>
          <w:sz w:val="20"/>
        </w:rPr>
        <w:t xml:space="preserve">3. </w:t>
      </w:r>
      <w:r>
        <w:rPr>
          <w:rFonts w:ascii="Calibri" w:hAnsi="Calibri"/>
          <w:b w:val="0"/>
          <w:color w:val="3A4A28"/>
          <w:sz w:val="20"/>
        </w:rPr>
        <w:t>Cultural and retention risk — Glassdoor reviews describing 'toxic culture' and 'zero leadership' at a company requiring high-security-clearance engineering talent could undermine long-term execution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L3Harris's core defense business — satellites, missile systems, tactical radios, night vision, and propulsion — involves physical-world military hardware and deeply classified government programs that AI structurally cannot replace [1]. Defense procurement is governed by long-term contracts, security clearances, ITAR regulations, and sovereign manufacturing requirements that create impenetrable barriers to AI disruption. AI actually increases demand for L3Harris products as the Pentagon prioritizes AI-enabled C4ISR, autonomous vehicles, and intelligent missile defense. The company IS defense AI infrastructure through its Palantir partnership and Golden Dome involvement [2]. AI Opportunity (1/1): L3Harris generates meaningful AI-related revenue through its Palantir partnership (AI-powered production and battlefield intelligence), Shield AI counter-UAS demonstrations, and Golden Dome missile defense program integration, with $2B+ in missile-tracking satellite contracts incorporating AI/ML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L3Harris Technologies Q1 2026 Earnings Release — $5.74B revenue (+12% YoY), EPS $2.72 (+33%), record $40.7B backlog, raised FY2026 guidance, BusinessWire, April 30, 2026</w:t>
      </w:r>
    </w:p>
    <w:p>
      <w:pPr>
        <w:spacing w:before="20" w:after="20"/>
        <w:ind w:left="170"/>
      </w:pPr>
      <w:r>
        <w:rPr>
          <w:rFonts w:ascii="Calibri" w:hAnsi="Calibri"/>
          <w:b/>
          <w:color w:val="4A6B25"/>
          <w:sz w:val="15"/>
        </w:rPr>
        <w:t xml:space="preserve">2. </w:t>
      </w:r>
      <w:r>
        <w:rPr>
          <w:rFonts w:ascii="Calibri" w:hAnsi="Calibri"/>
          <w:b w:val="0"/>
          <w:color w:val="3A4A28"/>
          <w:sz w:val="17"/>
        </w:rPr>
        <w:t>L3Harris AI Strategy, Palantir Partnership, Shield AI, Golden Dome, Glassdoor Reviews —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L3Harris 2024 Sustainability Report — 2030 ESG goals, 4th best Sustainalytics A&amp;D rating, GHG/renewable targets,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LHX Key Statistics (D/E 57.7%, ROE 8.19%, Forward PE ~31, market cap $68.5B),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