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LIN</w:t>
      </w:r>
      <w:r>
        <w:rPr>
          <w:rFonts w:ascii="Calibri" w:hAnsi="Calibri"/>
          <w:b/>
          <w:color w:val="1A2010"/>
          <w:sz w:val="40"/>
        </w:rPr>
        <w:t xml:space="preserve">  Linde plc</w:t>
      </w:r>
    </w:p>
    <w:p>
      <w:pPr>
        <w:spacing w:after="120"/>
      </w:pPr>
      <w:r>
        <w:rPr>
          <w:rFonts w:ascii="Calibri" w:hAnsi="Calibri"/>
          <w:b/>
          <w:color w:val="6E8450"/>
          <w:sz w:val="18"/>
        </w:rPr>
        <w:t>GROWTH SLEEVE · 2026-07-12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Specialty Chemicals · NASDAQ · Ireland</w:t>
      </w:r>
    </w:p>
    <w:p>
      <w:pPr>
        <w:spacing w:after="80"/>
      </w:pPr>
      <w:r>
        <w:rPr>
          <w:rFonts w:ascii="Calibri" w:hAnsi="Calibri"/>
          <w:b w:val="0"/>
          <w:color w:val="3A4A28"/>
          <w:sz w:val="20"/>
        </w:rPr>
        <w:t>Linde plc is the world's largest industrial gas company, providing atmospheric gases (oxygen, nitrogen, argon), process gases (hydrogen, carbon dioxide, helium), and engineering services to a wide range of industries including healthcare, electronics, energy, food, and manufacturing. Formed through the 2018 merger of Linde AG (founded 1879 in Germany) and Praxair (US), the company operates in over 100 countries. Headquartered in Woking, UK (domiciled in Ireland), with major operations globally.</w:t>
      </w:r>
    </w:p>
    <w:p>
      <w:r>
        <w:rPr>
          <w:rFonts w:ascii="Calibri" w:hAnsi="Calibri"/>
          <w:b/>
          <w:color w:val="6E8450"/>
          <w:sz w:val="18"/>
        </w:rPr>
        <w:t>66,000 Employees · https://www.linde.com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2018 Linde-Praxair mega-merger was a transformative event that created the world's largest industrial gas company, but it occurred slightly outside the 5-year window and subsequent years have focused on integration and optimization rather than new product innovation [1]. Expansion into electronics specialty gases for semiconductor manufacturing and clean hydrogen projects represent incremental growth in adjacent markets. AI Deployment (1/2): CEO Sanjiv Lamba has identified AI and digitalization as key growth drivers, with AI deployed for plant optimization, predictive maintenance, and supply chain management [5]. Linde uses digital twins and AI-powered analytics across operations, though no specific revenue or savings figures have been publicly quantified. Market Share (2/2): Undisputed global leader in industrial gases with #1 market share. Linde and Air Liquide together control approximately 45-50% of the global industrial gas market, with Linde holding the leading position in most geographies including the Americas and APAC [1][6]. Product Pipeline (1/2): Clean hydrogen projects for the energy transition, carbon capture solutions, and specialty gases for next-generation semiconductor fabrication represent specific growth initiatives [2]. Project backlog is growing, but launch timelines are general rather than specific. R&amp;D Intensity (1/1): While R&amp;D as a percentage of revenue appears modest for the sector, Linde's engineering and process technology development investment is substantial in absolute terms and supports proprietary gas production and delivery innovations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Linde's purpose — 'making our world more productive' — combined with CEO Lamba's emphasis on contributing unique skills and perspectives to reach goals, provides a clear direction but is not distinctively inspiring [5]. The mission is specific enough to guide strategy (productivity through gas solutions) but interchangeable with many industrial companies and does not describe a future state that doesn't yet exist. Community Impact (1/2): Named to Ethisphere's World's Most Ethical Companies list for the 6th consecutive year (April 2026) and recognized by Fortune as one of the World's Most Admired Companies (February 2026) [3]. These recognitions suggest consistent corporate citizenship, though no specific charitable programs with dollar amounts were identified. Employee Retention (1/2): Glassdoor rating of 3.7/5 with 68% recommending employment represents above-average sentiment for a large industrial company [4]. CEO Lamba emphasizes team empowerment, and the company's scale (66,000 employees in 100+ countries) provides career development opportunities. However, some reviews describe toxic environments in certain divisions, indicating inconsistency. Insider Buying (0/2): No insider buying data identified in the review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Linde demonstrates strong fundamental quality: D/E of 66% is below the 70% target (score 1.0), ROE of 18.23% exceeds the 15% threshold (score 1.0 at 2x weight), and profit margin of 20.44% meets the 20% target (score 1.0) [6]. Q1 2026 delivered $8.8B revenue (+8% YoY) with adjusted operating profit margin of 30% and adj EPS of $4.33 (+10%) [1]. Full-year 2026 guidance of adj EPS $17.60-$17.90 implies 7-9% growth [1]. The primary drags are modest revenue growth (FY2025 YoY of 3.0%, scoring 0.77) and elevated valuation: Forward P/E of 28.34 (score 0.79) and PEG of 3.25 (above the 3.0 floor, scoring 0) [6][7]. The 5-year revenue CAGR of approximately 4.5% scores 0.63 at 2x weight, reflecting Linde's steady but unspectacular organic growth profile.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Linde demonstrates meaningful infinite game qualities rooted in its 147-year heritage. The company has survived two World Wars, multiple industry cycles, and a mega-merger that redefined the global industrial gas industry. The Just Cause, while not transformative, has been validated by over a century of consistent execution in enabling industrial productivity. The Linde-Praxair merger showed existential flexibility, and the competitive dynamic with Air Liquide reflects worthy rivalry rather than destructive competition. However, the broad mission lacks the specificity Sinek demands, and some cultural inconsistency at the division level prevents a higher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Linde's purpose of 'making our world more productive' through industrial gas solutions has been validated by 147 years of consistent execution — from Carl von Linde's invention of the refrigeration machine in 1876 through to today's clean hydrogen and semiconductor specialty gases [1]. The purpose survived world wars, industry consolidation, and the transformative 2018 merger with Praxair. However, 'making our world more productive' is broadly stated and does not describe a specific future state that doesn't yet exist. It functions more as a business philosophy than a Just Cause in Sinek's strict definition, though its durability and strategic alignment are undeniable.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Lamba emphasizes diversity and empowerment, stating the company achieves its greatest successes when 'every team member feels empowered to contribute' [5]. Glassdoor rating of 3.7/5 with 68% recommending employment is above average for the industrial sector, and career development is cited as a positive [4]. However, some reviews describe toxic environments in certain divisions, and 'senior leadership, culture, management' are listed among employee cons, suggesting psychological safety varies significantly across the 66,000-person global workforce.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The industrial gas industry operates with an implicit worthy rival dynamic among Linde, Air Liquide, and Air Products. Rather than destructive competition, these companies have historically competed on service quality, innovation, and operational excellence while respecting each other's market positions [6]. The Linde-Praxair merger itself was motivated by becoming better, not by crushing a rival, and Linde's competitive language focuses on customer outcomes and operational excellence rather than defeating specific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2018 Linde-Praxair merger was a transformative strategic move that fundamentally reshaped the global industrial gas industry, creating the world's largest player from two major competitors across different continents [1]. The company's current investment in the hydrogen economy and carbon capture solutions represents meaningful strategic evolution in response to the energy transition. However, these are adjacent expansions of the core industrial gas business rather than radical self-reinvention — Linde has always been an industrial gas company and continues to be one.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Linde-Praxair merger required navigating complex international regulatory approvals, significant divestitures, and cultural integration across German and American organizations — a multi-year commitment with substantial execution risk [1]. Under CEO Lamba, continued investment in hydrogen infrastructure and carbon capture projects represents betting on the energy transition even amid uncertainty about timelines and regulatory support [2]. The company maintains capital discipline and returns cash to shareholders (22 consecutive years of dividend growth) while investing in long-term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Linde is the world's most valuable industrial gas franchise, delivering Q1 2026 revenue of $8.8B (+8% YoY) with adjusted operating margins of 30% and adj EPS of $4.33 (+10% YoY) [1]. The company guided full-year 2026 adj EPS of $17.60-$17.90, representing 7-9% growth underpinned by pricing discipline, volume recovery in Americas and APAC, and operating leverage from the merged Linde-Praxair platform [1]. With D/E of 66%, ROE of 18.2%, profit margin of 20.4%, and 22 consecutive years of dividend growth at a 9.8% 5-year CAGR, Linde is a textbook quality compounder [6][7]. The secular tailwind from AI data center cooling needs, semiconductor specialty gases, and clean hydrogen positioning adds long-term growth optionality beyond the steady base business.</w:t>
      </w:r>
    </w:p>
    <w:p>
      <w:pPr>
        <w:spacing w:after="120"/>
      </w:pPr>
      <w:r>
        <w:rPr>
          <w:rFonts w:ascii="Calibri" w:hAnsi="Calibri"/>
          <w:b w:val="0"/>
          <w:color w:val="3A4A28"/>
          <w:sz w:val="20"/>
        </w:rPr>
        <w:t>The primary concern is valuation relative to growth. At 28.3x forward earnings and a PEG ratio of 3.25 (above the 3.0 floor), Linde is priced as a premium quality asset in a low-single-digit organic growth business — FY2025 revenue grew only 3.0% and the 5-year CAGR is approximately 4.5% [6]. The 1.24% dividend yield is below the 2% threshold for income-oriented investors. While underlying Q1 2026 volumes grew only 1% (with price contributing 2% and currency providing a 5% tailwind), the premium multiple requires sustained volume acceleration that is not yet evident [1]. EMEA volumes remain soft, and the company's profitability improvement has been primarily margin-driven rather than top-line fueled. Any deceleration in the AI-driven demand thesis for cooling and specialty gases could leave the stock without a growth catalyst to justify the premium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expansion driving incremental demand for industrial cooling gases, specialty chemicals, and ultra-pure nitrogen/argon for semiconductor fabrication that directly benefits Linde's product portfolio</w:t>
      </w:r>
    </w:p>
    <w:p>
      <w:pPr>
        <w:spacing w:before="40" w:after="40"/>
        <w:ind w:left="283"/>
      </w:pPr>
      <w:r>
        <w:rPr>
          <w:rFonts w:ascii="Calibri" w:hAnsi="Calibri"/>
          <w:b/>
          <w:color w:val="4A6B25"/>
          <w:sz w:val="20"/>
        </w:rPr>
        <w:t xml:space="preserve">2. </w:t>
      </w:r>
      <w:r>
        <w:rPr>
          <w:rFonts w:ascii="Calibri" w:hAnsi="Calibri"/>
          <w:b w:val="0"/>
          <w:color w:val="3A4A28"/>
          <w:sz w:val="20"/>
        </w:rPr>
        <w:t>Clean hydrogen project backlog conversion as energy transition investment accelerates, with Linde positioned as the leading hydrogen producer and distributor globally</w:t>
      </w:r>
    </w:p>
    <w:p>
      <w:pPr>
        <w:spacing w:before="40" w:after="40"/>
        <w:ind w:left="283"/>
      </w:pPr>
      <w:r>
        <w:rPr>
          <w:rFonts w:ascii="Calibri" w:hAnsi="Calibri"/>
          <w:b/>
          <w:color w:val="4A6B25"/>
          <w:sz w:val="20"/>
        </w:rPr>
        <w:t xml:space="preserve">3. </w:t>
      </w:r>
      <w:r>
        <w:rPr>
          <w:rFonts w:ascii="Calibri" w:hAnsi="Calibri"/>
          <w:b w:val="0"/>
          <w:color w:val="3A4A28"/>
          <w:sz w:val="20"/>
        </w:rPr>
        <w:t>Continued margin expansion through productivity improvements, pricing discipline, and operating leverage on the merged Linde-Praxair platform, targeting progression toward 32%+ adjusted operating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28.3x forward P/E and PEG of 3.25 on a 3% organic revenue growth business leaves minimal margin of safety — any economic slowdown reducing industrial production would compress both earnings and multiple simultaneously [6]</w:t>
      </w:r>
    </w:p>
    <w:p>
      <w:pPr>
        <w:spacing w:before="40" w:after="40"/>
        <w:ind w:left="283"/>
      </w:pPr>
      <w:r>
        <w:rPr>
          <w:rFonts w:ascii="Calibri" w:hAnsi="Calibri"/>
          <w:b/>
          <w:color w:val="4A6B25"/>
          <w:sz w:val="20"/>
        </w:rPr>
        <w:t xml:space="preserve">2. </w:t>
      </w:r>
      <w:r>
        <w:rPr>
          <w:rFonts w:ascii="Calibri" w:hAnsi="Calibri"/>
          <w:b w:val="0"/>
          <w:color w:val="3A4A28"/>
          <w:sz w:val="20"/>
        </w:rPr>
        <w:t>Organic volume growth of only 1% in Q1 2026 (with 5% currency tailwind flattering reported growth) suggests underlying demand remains tepid, particularly in EMEA where volumes declined [1]</w:t>
      </w:r>
    </w:p>
    <w:p>
      <w:pPr>
        <w:spacing w:before="40" w:after="40"/>
        <w:ind w:left="283"/>
      </w:pPr>
      <w:r>
        <w:rPr>
          <w:rFonts w:ascii="Calibri" w:hAnsi="Calibri"/>
          <w:b/>
          <w:color w:val="4A6B25"/>
          <w:sz w:val="20"/>
        </w:rPr>
        <w:t xml:space="preserve">3. </w:t>
      </w:r>
      <w:r>
        <w:rPr>
          <w:rFonts w:ascii="Calibri" w:hAnsi="Calibri"/>
          <w:b w:val="0"/>
          <w:color w:val="3A4A28"/>
          <w:sz w:val="20"/>
        </w:rPr>
        <w:t>Hydrogen economy timeline risk — significant capital is committed to clean hydrogen production, but regulatory uncertainty, infrastructure buildout delays, and competition from alternative green energy solutions could defer returns on these investments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Linde's core business — producing and distributing industrial gases through cryogenic air separation units, pipeline networks, and tanker fleets — is structurally immune to AI disruption. Manufacturing oxygen, nitrogen, argon, and hydrogen requires massive physical infrastructure, specialized metallurgy, and complex thermodynamics that AI cannot substitute [1]. AI actually increases demand for Linde's products: AI data centers require cooling gases and specialty chemicals; semiconductor fabrication (expanding due to AI chip demand) needs ultra-pure specialty gases; and the hydrogen economy requires Linde's production and distribution infrastructure [2]. The company's 100+ country physical footprint, long-term take-or-pay contracts, and regulated pipeline networks create moats that are deepened, not threatened, by the AI revolution. AI Opportunity (0/1): While Linde uses AI internally for operational optimization and has identified it as a strategic priority, the company does not sell AI products or generate direct AI revenue [5]. The AI benefit is indirect — increased customer demand from AI-driven industries.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Linde Q1 2026 Earnings Release — linde.com, May 2026</w:t>
      </w:r>
    </w:p>
    <w:p>
      <w:pPr>
        <w:spacing w:before="20" w:after="20"/>
        <w:ind w:left="170"/>
      </w:pPr>
      <w:r>
        <w:rPr>
          <w:rFonts w:ascii="Calibri" w:hAnsi="Calibri"/>
          <w:b/>
          <w:color w:val="4A6B25"/>
          <w:sz w:val="15"/>
        </w:rPr>
        <w:t xml:space="preserve">2. </w:t>
      </w:r>
      <w:r>
        <w:rPr>
          <w:rFonts w:ascii="Calibri" w:hAnsi="Calibri"/>
          <w:b w:val="0"/>
          <w:color w:val="3A4A28"/>
          <w:sz w:val="17"/>
        </w:rPr>
        <w:t>Linde PLC Q1 2026 Earnings Call Highlights — GuruFocus, May 2026</w:t>
      </w:r>
    </w:p>
    <w:p>
      <w:pPr>
        <w:spacing w:before="20" w:after="20"/>
        <w:ind w:left="170"/>
      </w:pPr>
      <w:r>
        <w:rPr>
          <w:rFonts w:ascii="Calibri" w:hAnsi="Calibri"/>
          <w:b/>
          <w:color w:val="4A6B25"/>
          <w:sz w:val="15"/>
        </w:rPr>
        <w:t xml:space="preserve">3. </w:t>
      </w:r>
      <w:r>
        <w:rPr>
          <w:rFonts w:ascii="Calibri" w:hAnsi="Calibri"/>
          <w:b w:val="0"/>
          <w:color w:val="3A4A28"/>
          <w:sz w:val="17"/>
        </w:rPr>
        <w:t>Ethisphere World's Most Ethical Companies 2026 Recognition — linde.com Awards, April 2026</w:t>
      </w:r>
    </w:p>
    <w:p>
      <w:pPr>
        <w:spacing w:before="20" w:after="20"/>
        <w:ind w:left="170"/>
      </w:pPr>
      <w:r>
        <w:rPr>
          <w:rFonts w:ascii="Calibri" w:hAnsi="Calibri"/>
          <w:b/>
          <w:color w:val="4A6B25"/>
          <w:sz w:val="15"/>
        </w:rPr>
        <w:t xml:space="preserve">4. </w:t>
      </w:r>
      <w:r>
        <w:rPr>
          <w:rFonts w:ascii="Calibri" w:hAnsi="Calibri"/>
          <w:b w:val="0"/>
          <w:color w:val="3A4A28"/>
          <w:sz w:val="17"/>
        </w:rPr>
        <w:t>Glassdoor — Linde Employee Reviews (3.7/5 from 2,809 reviews),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Klover.ai — Linde's AI Strategy: Analysis of AI Dominance in Industrial Gases and Engineering,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and Yahoo Finance — LIN Key Statistics and Financial Data, accessed July 2026</w:t>
      </w:r>
    </w:p>
    <w:p>
      <w:pPr>
        <w:spacing w:before="20" w:after="20"/>
        <w:ind w:left="170"/>
      </w:pPr>
      <w:r>
        <w:rPr>
          <w:rFonts w:ascii="Calibri" w:hAnsi="Calibri"/>
          <w:b/>
          <w:color w:val="4A6B25"/>
          <w:sz w:val="15"/>
        </w:rPr>
        <w:t xml:space="preserve">7. </w:t>
      </w:r>
      <w:r>
        <w:rPr>
          <w:rFonts w:ascii="Calibri" w:hAnsi="Calibri"/>
          <w:b w:val="0"/>
          <w:color w:val="3A4A28"/>
          <w:sz w:val="17"/>
        </w:rPr>
        <w:t>GuruFocus — LIN 5-Year Dividend Growth Rate and Valuation Metrics,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