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LNG</w:t>
      </w:r>
      <w:r>
        <w:rPr>
          <w:rFonts w:ascii="Calibri" w:hAnsi="Calibri"/>
          <w:b/>
          <w:color w:val="1A2010"/>
          <w:sz w:val="40"/>
        </w:rPr>
        <w:t xml:space="preserve">  Cheniere Energy, Inc.</w:t>
      </w:r>
    </w:p>
    <w:p>
      <w:pPr>
        <w:spacing w:after="120"/>
      </w:pPr>
      <w:r>
        <w:rPr>
          <w:rFonts w:ascii="Calibri" w:hAnsi="Calibri"/>
          <w:b/>
          <w:color w:val="6E8450"/>
          <w:sz w:val="18"/>
        </w:rPr>
        <w:t>GROWTH SLEEVE · 2026-07-13 · Inspire: 42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Energy · Oil &amp; Gas Midstream · NYSE · United States</w:t>
      </w:r>
    </w:p>
    <w:p>
      <w:pPr>
        <w:spacing w:after="80"/>
      </w:pPr>
      <w:r>
        <w:rPr>
          <w:rFonts w:ascii="Calibri" w:hAnsi="Calibri"/>
          <w:b w:val="0"/>
          <w:color w:val="3A4A28"/>
          <w:sz w:val="20"/>
        </w:rPr>
        <w:t>Cheniere Energy is the largest producer and exporter of LNG in the United States and the second-largest LNG operator globally. The company operates the Sabine Pass (Louisiana) and Corpus Christi (Texas) liquefaction facilities, exporting approximately 10% of global LNG supply under long-term take-or-pay contracts with investment-grade counterparties. Q1 2026 revenue was $5.87B with Consolidated Adjusted EBITDA of $2.33B. CEO Jack Fusco has led the company since 2016.</w:t>
      </w:r>
    </w:p>
    <w:p>
      <w:r>
        <w:rPr>
          <w:rFonts w:ascii="Calibri" w:hAnsi="Calibri"/>
          <w:b/>
          <w:color w:val="6E8450"/>
          <w:sz w:val="18"/>
        </w:rPr>
        <w:t>1,700 Employees · https://www.cheniere.com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Cheniere has continued its decade-long transformation of the US LNG industry, with Q1 2026 revenue of $5.87B (up 8% YoY) and Adjusted EBITDA of $2.33B (up 25% YoY) [1]. The Integrated Production Marketing (IPM) model, introduced in recent years, represents a significant business model innovation that captures value across the gas-to-LNG chain. However, the core strategy of building and operating LNG terminals has been consistent since 2016, and recent years represent execution rather than new pivots. AI Deployment (1/2): Cheniere deploys digital twins, predictive maintenance, and QMRV methane detection technology for operational optimization across its liquefaction facilities [3]. These are internal efficiency tools rather than AI products sold to customers. Market Share (2/2): Cheniere is the dominant US LNG producer — the largest in the US and second globally — with 2026 production guidance of 51-53 million tons capturing approximately 10% of global LNG trade [1]. No US competitor approaches this scale. Product Pipeline (2/2): Corpus Christi Stage 3 remaining trains completing in 2026, Midscale Trains 8 and 9 advancing toward 2028 completion, providing specific capacity additions with defined timelines and visible revenue impact from raised 2026 EBITDA guidance of $7.25-7.75B [1]. R&amp;D Intensity (0/1): Midstream energy has limited R&amp;D spend — capital expenditure is infrastructure-focused on liquefaction capacity rather than technology innovation.</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Cheniere's purpose of providing reliable, cleaner-burning natural gas to displace coal and enhance global energy security is specific and thoughtful — it connects the company's LNG exports to a larger purpose of global energy transition, particularly as European and Asian allies seek non-Russian energy supply [2]. The mission has been consistent under CEO Fusco's 10-year tenure and shapes strategic decisions around long-term contracting and capacity expansion. Community Impact (1/2): JUST Capital recognized Cheniere as a Top Performer in Employee Wellness and Training &amp; Development with maximum scores [2]. The company publishes annual Corporate Responsibility Reports and has implemented Cargo Emissions Tags providing GHG data to customers [3]. Gulf Coast economic development from terminal operations is substantial. However, no specific dollar amounts for charitable giving or foundation programs were identified. Employee Retention (1/2): JUST Capital's systematic assessment awarded maximum scores for Employee Wellness and Training, and CEO Fusco's 10-year tenure provides leadership stability [2]. The 1,700-person workforce operates critical infrastructure with safety-first protocols. However, no specific turnover or tenure data is publicly available to distinguish retention from industry average. Insider Buying (0/2): No evidence of meaningful net insider buying by CEO Fusco or other executives in the last 12 months. The corporate share buyback programs (including the completed '20/20 Vision' plan) represent capital allocation policy, not personal insider conviction.</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GAAP metrics are significantly distorted by $5.4B in non-cash unfavorable changes in fair value of long-term commodity derivatives in Q1 2026, which drove a GAAP net loss of $3.5B despite raised operational guidance [1]. ROE of 28.92% is well above the 15% target, scoring 1.0 at 2x weight [4]. Forward P/E of 17.95x is attractively below the 20x target, reflecting consensus EPS expectations that normalize beyond the derivative impacts. Estimated 5-year revenue CAGR of approximately 17% (from ~$9.4B in 2020 to ~$20.8B in 2025) scores 1.0 at 2x weight. Q1 2026 revenue growth of 8% YoY scores 0.93. However, D/E of 321% exceeds the 300% floor, scoring 0.0 — reflecting $27.85B in project finance debt secured by long-term take-or-pay contracts with investment-grade counterparties. GAAP profit margin of 7.10% scores 0.36, dragged down by non-cash derivative losses. Growth stock calculation with Forward PEG excluded: weighted sum 6.29 / max 8.0 = 7.86, rounded to 8. Liquidity floor easily cleared: 2.35M shares x $258.64 = $607M daily dollar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Cheniere under Jack Fusco operates with a long-duration mindset suited to 20+ year infrastructure assets and take-or-pay contracts. The historic LNG import-to-export transformation demonstrates one of the most dramatic existential pivots in energy history, and the consistent strategic focus under Fusco's 10-year tenure shows commitment to endurance. However, corporate culture concerns from employee reviews and the combined CEO/Chairman role under Fusco temper the infinite game assessment, as does the finite-game nature of commodity economics.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'Providing reliable, cleaner-burning natural gas to displace coal and enhance global energy security' is a genuine cause that connects Cheniere's exports to a larger purpose — European energy independence from Russia, Asian coal-to-gas transition, and climate impact reduction through fuel switching [2]. The cause has been consistent under Fusco's 10-year tenure and shapes the long-duration contract strategy. However, the cause is commercially intertwined with profit — Cheniere benefits financially from the exact outcomes its mission promotes — and hasn't been tested through a genuine crisis where the cause conflicted with profit.</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JUST Capital recognized Cheniere as a Top Performer in Employee Wellness and Training &amp; Development with maximum scores, suggesting systematic investment in people [2]. CEO Fusco's 10-year tenure and the safety-first culture required for critical LNG infrastructure provide organizational stability. However, the lean 1,700-person workforce operating massive infrastructure creates intensity, and no specific turnover or tenure data distinguishes Cheniere from industry norms.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Management discusses competitive dynamics with Qatar Energy, Venture Global, Sempra, and NextDecade in earnings calls, but the framing is market positioning (capacity share, spot margin pressure) rather than an infinite competitive mindset of learning from rivals' strengths [1]. Cheniere's language is about maintaining market leadership and capturing demand growth, not about how competitors push them to improve.</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Cheniere's transformation from a failed LNG import terminal strategy (pre-2010) to the largest US LNG exporter is one of the most dramatic existential pivots in energy history [2]. When the US shale revolution made gas imports obsolete, Cheniere converted its Sabine Pass import infrastructure to an export facility — fundamentally reinventing the company and creating an entirely new industry. The Corpus Christi Stage 3 electric-drive design shows continued willingness to evolve technology for lower emissions.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Fusco's commitment to multi-billion-dollar, multi-decade infrastructure investments — taking on $27.85B in debt to build liquefaction capacity — represents long-term capital allocation courage [1]. Voluntarily implementing methane intensity targets and QMRV monitoring ahead of regulation demonstrates principled environmental leadership [3]. However, the investments are substantially de-risked by 15-20 year take-or-pay contracts with investment-grade buyers, and the combined CEO/Chairman role reduces accountability pressure that infinite-game leadership invites.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Cheniere Energy is the dominant US LNG exporter at a structural inflection — AI data center construction is driving historic increases in US electricity demand powered by natural gas, European allies need non-Russian supply for decades, and Asia continues its coal-to-gas transition [3]. Q1 2026 delivered revenue of $5.87B (up 8% YoY) and Consolidated Adjusted EBITDA of $2.33B (up 25% YoY), prompting management to raise full-year 2026 EBITDA guidance to $7.25-7.75B and Distributable Cash Flow guidance to $4.75-5.25B [1]. At 17.95x forward earnings with contracted cash flows, CC Stage 3 trains completing in 2026, and Midscale Trains 8 and 9 advancing for 2028, Cheniere offers visible multi-year production growth underpinned by take-or-pay contracts. The Inspire Impact Score of 42 (ALIGNED) with 14 positive attributions including Energy Management, Business Resilience, and Regulatory Adherence reflects strong ESG positioning within the energy sector.</w:t>
      </w:r>
    </w:p>
    <w:p>
      <w:pPr>
        <w:spacing w:after="120"/>
      </w:pPr>
      <w:r>
        <w:rPr>
          <w:rFonts w:ascii="Calibri" w:hAnsi="Calibri"/>
          <w:b w:val="0"/>
          <w:color w:val="3A4A28"/>
          <w:sz w:val="20"/>
        </w:rPr>
        <w:t>The bear case centers on commodity oversupply, regulatory risk, and GAAP distortions. The Q1 2026 GAAP net loss of $3.5B — driven by $5.4B in non-cash unfavorable derivative fair value changes from IPM contracts — distorts trailing metrics (PE 38.45x, profit margin 7.10%) and may spook investors unfamiliar with the accounting treatment [1]. D/E of 321% reflects $27.85B in project finance debt, a level above the IOWN 300% floor and a structural consequence of the capital-intensive LNG terminal model [4]. US LNG capacity is scaling rapidly — Venture Global's Plaquemines, Sempra's Port Arthur, and NextDecade's Rio Grande create potential spot margin pressure as new supply enters the market. Methane emissions regulation in the EU and US could raise compliance costs despite Cheniere's OGMP 2.0 Gold Standard recognition [3]. The combined CEO/Chairman role under Fusco concentrates governance power, and employee culture reviews suggest organizational stress below the C-suite.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Corpus Christi Stage 3 remaining trains completing in 2026 and Midscale Trains 8 and 9 advancing toward 2028, supporting the raised EBITDA guidance of $7.25-7.75B and multi-year production growth to 51-53 million tons [1]</w:t>
      </w:r>
    </w:p>
    <w:p>
      <w:pPr>
        <w:spacing w:before="40" w:after="40"/>
        <w:ind w:left="283"/>
      </w:pPr>
      <w:r>
        <w:rPr>
          <w:rFonts w:ascii="Calibri" w:hAnsi="Calibri"/>
          <w:b/>
          <w:color w:val="4A6B25"/>
          <w:sz w:val="20"/>
        </w:rPr>
        <w:t xml:space="preserve">2. </w:t>
      </w:r>
      <w:r>
        <w:rPr>
          <w:rFonts w:ascii="Calibri" w:hAnsi="Calibri"/>
          <w:b w:val="0"/>
          <w:color w:val="3A4A28"/>
          <w:sz w:val="20"/>
        </w:rPr>
        <w:t>AI data center electricity demand driving structural growth in US natural gas consumption — each 1GW data center requires 6 Bcf/year of natural gas equivalent, creating a multi-decade demand tailwind for LNG [3]</w:t>
      </w:r>
    </w:p>
    <w:p>
      <w:pPr>
        <w:spacing w:before="40" w:after="40"/>
        <w:ind w:left="283"/>
      </w:pPr>
      <w:r>
        <w:rPr>
          <w:rFonts w:ascii="Calibri" w:hAnsi="Calibri"/>
          <w:b/>
          <w:color w:val="4A6B25"/>
          <w:sz w:val="20"/>
        </w:rPr>
        <w:t xml:space="preserve">3. </w:t>
      </w:r>
      <w:r>
        <w:rPr>
          <w:rFonts w:ascii="Calibri" w:hAnsi="Calibri"/>
          <w:b w:val="0"/>
          <w:color w:val="3A4A28"/>
          <w:sz w:val="20"/>
        </w:rPr>
        <w:t>Normalization of GAAP metrics as non-cash derivative losses from Q1 2026 ($5.4B) reverse in future quarters, potentially compressing PE from 38.45x toward the ~12-14x adjusted range [1][4]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US LNG oversupply from Venture Global Plaquemines, Sempra Port Arthur, and NextDecade Rio Grande coming online could compress spot margins beyond contracted volumes, reducing optimization upside [1]</w:t>
      </w:r>
    </w:p>
    <w:p>
      <w:pPr>
        <w:spacing w:before="40" w:after="40"/>
        <w:ind w:left="283"/>
      </w:pPr>
      <w:r>
        <w:rPr>
          <w:rFonts w:ascii="Calibri" w:hAnsi="Calibri"/>
          <w:b/>
          <w:color w:val="4A6B25"/>
          <w:sz w:val="20"/>
        </w:rPr>
        <w:t xml:space="preserve">2. </w:t>
      </w:r>
      <w:r>
        <w:rPr>
          <w:rFonts w:ascii="Calibri" w:hAnsi="Calibri"/>
          <w:b w:val="0"/>
          <w:color w:val="3A4A28"/>
          <w:sz w:val="20"/>
        </w:rPr>
        <w:t>D/E of 321% (exceeding the 300% IOWN floor) reflects $27.85B in project finance debt — while secured by take-or-pay contracts, rising interest rates elevate refinancing costs and constrain financial flexibility [4]</w:t>
      </w:r>
    </w:p>
    <w:p>
      <w:pPr>
        <w:spacing w:before="40" w:after="40"/>
        <w:ind w:left="283"/>
      </w:pPr>
      <w:r>
        <w:rPr>
          <w:rFonts w:ascii="Calibri" w:hAnsi="Calibri"/>
          <w:b/>
          <w:color w:val="4A6B25"/>
          <w:sz w:val="20"/>
        </w:rPr>
        <w:t xml:space="preserve">3. </w:t>
      </w:r>
      <w:r>
        <w:rPr>
          <w:rFonts w:ascii="Calibri" w:hAnsi="Calibri"/>
          <w:b w:val="0"/>
          <w:color w:val="3A4A28"/>
          <w:sz w:val="20"/>
        </w:rPr>
        <w:t>EU methane regulations and carbon border adjustments could raise compliance costs and reduce the emissions advantage of US LNG over pipeline gas, despite Cheniere's QMRV monitoring and Cargo Emissions Tag programs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Cheniere's core business — physical liquefaction, loading, shipping, and delivery of LNG from multi-billion-dollar terminal infrastructure — is structurally immune to AI disruption. Long-term take-or-pay contracts (typically 15-20+ years) with investment-grade counterparties provide revenue certainty regardless of technology shifts [1]. More significantly, AI is a demand accelerant for Cheniere: the explosion in AI data center construction is driving historic increases in US electricity demand, much of which is met by natural gas-fired power generation [3]. Analysts at Seeking Alpha, Barclays, and others specifically cite 'AI power needs' as a structural tailwind for LNG demand [3][5]. AI cannot substitute for physical energy infrastructure — it requires it. AI Opportunity (0/1): Cheniere does not generate revenue from AI products or services. Internal applications (digital twins, predictive maintenance, QMRV methane detection) drive operational efficiency but are not revenue-generating AI offerings.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42</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Cheniere Q1 2026 Earnings Release — Revenue $5.87B, Adj EBITDA $2.33B, Raised 2026 Guidance to $7.25-7.75B, GAAP Net Loss $3.5B (Non-Cash Derivatives), May 2026</w:t>
      </w:r>
    </w:p>
    <w:p>
      <w:pPr>
        <w:spacing w:before="20" w:after="20"/>
        <w:ind w:left="170"/>
      </w:pPr>
      <w:r>
        <w:rPr>
          <w:rFonts w:ascii="Calibri" w:hAnsi="Calibri"/>
          <w:b/>
          <w:color w:val="4A6B25"/>
          <w:sz w:val="15"/>
        </w:rPr>
        <w:t xml:space="preserve">2. </w:t>
      </w:r>
      <w:r>
        <w:rPr>
          <w:rFonts w:ascii="Calibri" w:hAnsi="Calibri"/>
          <w:b w:val="0"/>
          <w:color w:val="3A4A28"/>
          <w:sz w:val="17"/>
        </w:rPr>
        <w:t>Cheniere Corporate Responsibility Report 2023 — Energy Security Mission, JUST Capital Top Performer Recognition, Gulf Coast Economic Development</w:t>
      </w:r>
    </w:p>
    <w:p>
      <w:pPr>
        <w:spacing w:before="20" w:after="20"/>
        <w:ind w:left="170"/>
      </w:pPr>
      <w:r>
        <w:rPr>
          <w:rFonts w:ascii="Calibri" w:hAnsi="Calibri"/>
          <w:b/>
          <w:color w:val="4A6B25"/>
          <w:sz w:val="15"/>
        </w:rPr>
        <w:t xml:space="preserve">3. </w:t>
      </w:r>
      <w:r>
        <w:rPr>
          <w:rFonts w:ascii="Calibri" w:hAnsi="Calibri"/>
          <w:b w:val="0"/>
          <w:color w:val="3A4A28"/>
          <w:sz w:val="17"/>
        </w:rPr>
        <w:t>Seeking Alpha — 'Cheniere Energy: LNG Demand, AI Power Needs And Buybacks Support Long-Term Upside'; UNEP OGMP 2.0 Gold Standard Methane Reporting, 2025-2026</w:t>
      </w:r>
    </w:p>
    <w:p>
      <w:pPr>
        <w:spacing w:before="20" w:after="20"/>
        <w:ind w:left="170"/>
      </w:pPr>
      <w:r>
        <w:rPr>
          <w:rFonts w:ascii="Calibri" w:hAnsi="Calibri"/>
          <w:b/>
          <w:color w:val="4A6B25"/>
          <w:sz w:val="15"/>
        </w:rPr>
        <w:t xml:space="preserve">4. </w:t>
      </w:r>
      <w:r>
        <w:rPr>
          <w:rFonts w:ascii="Calibri" w:hAnsi="Calibri"/>
          <w:b w:val="0"/>
          <w:color w:val="3A4A28"/>
          <w:sz w:val="17"/>
        </w:rPr>
        <w:t>StockAnalysis.com — LNG Key Statistics, D/E 321%, ROE 28.92%, Forward P/E 17.95x, Market Cap $54.2B, accessed July 2026</w:t>
      </w:r>
    </w:p>
    <w:p>
      <w:pPr>
        <w:spacing w:before="20" w:after="20"/>
        <w:ind w:left="170"/>
      </w:pPr>
      <w:r>
        <w:rPr>
          <w:rFonts w:ascii="Calibri" w:hAnsi="Calibri"/>
          <w:b/>
          <w:color w:val="4A6B25"/>
          <w:sz w:val="15"/>
        </w:rPr>
        <w:t xml:space="preserve">5. </w:t>
      </w:r>
      <w:r>
        <w:rPr>
          <w:rFonts w:ascii="Calibri" w:hAnsi="Calibri"/>
          <w:b w:val="0"/>
          <w:color w:val="3A4A28"/>
          <w:sz w:val="17"/>
        </w:rPr>
        <w:t>Barclays LNG Outlook — Natural Gas Market Strength, Consensus $303 Price Target (23 Analysts), Strong Buy Rating,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