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LNT</w:t>
      </w:r>
      <w:r>
        <w:rPr>
          <w:rFonts w:ascii="Calibri" w:hAnsi="Calibri"/>
          <w:b/>
          <w:color w:val="1A2010"/>
          <w:sz w:val="40"/>
        </w:rPr>
        <w:t xml:space="preserve">  Alliant Energy Corporation</w:t>
      </w:r>
    </w:p>
    <w:p>
      <w:pPr>
        <w:spacing w:after="120"/>
      </w:pPr>
      <w:r>
        <w:rPr>
          <w:rFonts w:ascii="Calibri" w:hAnsi="Calibri"/>
          <w:b/>
          <w:color w:val="6E8450"/>
          <w:sz w:val="18"/>
        </w:rPr>
        <w:t>DIVIDEND SLEEVE · 2026-07-12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Utilities—Regulated Electric · NASDAQ · United States</w:t>
      </w:r>
    </w:p>
    <w:p>
      <w:pPr>
        <w:spacing w:after="80"/>
      </w:pPr>
      <w:r>
        <w:rPr>
          <w:rFonts w:ascii="Calibri" w:hAnsi="Calibri"/>
          <w:b w:val="0"/>
          <w:color w:val="3A4A28"/>
          <w:sz w:val="20"/>
        </w:rPr>
        <w:t>Alliant Energy Corporation is a regulated utility holding company serving approximately one million electric and 430,000 natural gas customers in Iowa and Wisconsin through its subsidiaries Interstate Power and Light (IPL) and Wisconsin Power and Light (WPL). The company is transitioning from coal to renewables with 1,000+ MW of wind capacity installed and a commitment to eliminate coal from its generation mix by 2040. Alliant is actively pursuing AI data center load growth with a $1B equity raise earmarked for infrastructure expansion.</w:t>
      </w:r>
    </w:p>
    <w:p>
      <w:r>
        <w:rPr>
          <w:rFonts w:ascii="Calibri" w:hAnsi="Calibri"/>
          <w:b/>
          <w:color w:val="6E8450"/>
          <w:sz w:val="18"/>
        </w:rPr>
        <w:t>3,400 Employees · https://www.alliantenergy.com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Alliant has executed a meaningful energy transition — installing 1,000 MW of wind generation in 2019-2020 and committing to coal elimination by 2040 — while simultaneously pivoting to capture AI data center demand through a $1B equity raise specifically targeting data center and cloud infrastructure in its Iowa/Wisconsin service territory [1][2]. This represents a genuine strategic repositioning for a Midwestern utility. AI Deployment (0/2): No evidence of AI-powered products or measurable AI-driven operational efficiencies reported; Alliant uses standard utility management systems and grid technology. Market Share (1/2): Regulated monopoly position in Iowa and Wisconsin service territories ensures captive customer base with no competitive threat, though this is structural rather than earned through innovation [1]. Product Pipeline (1/2): $1B equity raise for AI data center infrastructure provides specific near-term growth visibility, plus continued solar and battery storage buildout planned through 2028 [2]. R&amp;D Intensity (0/1): Utilities invest primarily in capital expenditure rather than R&amp;D; Alliant's technology spending is below-average relative to peer group.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Alliant Energy's purpose centers on 'serving customers and building stronger communities' through safe, reliable, affordable energy — clear and identifies the stakeholder, but interchangeable with virtually any regulated utility in the country [3]. Community Impact (1/2): Alliant Energy Foundation supports local nonprofits in Iowa and Wisconsin, renewable energy investments create local construction jobs, and the company reports community engagement through its Corporate Responsibility Report aligned with UN SDGs — meaningful but standard utility community investment [3]. Employee Retention (0/2): No specific retention metrics, voluntary turnover data, or employee tenure information available in public materials. Lisa Barton became CEO in February 2023 with limited tenure data under new leadership. Insider Buying (0/2): No evidence of meaningful net insider buying by CEO Barton or other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Alliant Energy demonstrates the classic regulated utility profile — moderate D/E of 132% (elevated vs target but standard for capital-intensive utilities), ROE of 10% (below 15% target but solid for the sector), and profit margin of 18.6% approaching the 20% target [1][4]. TTM revenue grew approximately 10% YoY to $4.36B driven by rate cases and customer growth, though 5-year CAGR of only 3.5% reflects the inherently slow-growth nature of regulated utilities. Forward P/E of 22x is near the 20x target. The dividend profile is the standout: 80 consecutive years of payments (since 1946), 21+ consecutive years of growth, 2026 target of $2.14/share representing a 5.4% increase and approximately 6% 5-year CAGR [1]. Payout ratio of 63% is manageable for a utility with predictable cash flows. Liquidity floor easily cleared at ~$229M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Alliant Energy is a well-managed regulated utility that has operated continuously for over 100 years, but its longevity derives from structural monopoly protection and regulatory frameworks rather than infinite-game thinking. The company executes competently within its regulated environment — transitioning to renewables, pursuing data center growth, growing dividends reliably — but these are industry-standard adaptations rather than courageous cause-driven decisions. Sinek would see a company surviving by structure, not by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Alliant Energy's stated purpose of serving customers and building communities is clear but generic — it could be any utility's mission statement without modification [3]. The clean energy transition commitment (coal elimination by 2040) shows some forward-looking purpose, but this is an industry-wide trend driven by economics and regulation rather than a distinctive Just Cause that shapes uniquely courageous decisions. The company has operated for 100+ years, but longevity in a regulated monopoly does not validate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Lisa Barton joined in 2023 from AEP, providing experienced leadership but limited tenure for cultural assessment. Alliant has approximately 3,400 employees in a Midwestern utility culture that tends toward stability. No major layoffs, reorganizations, or cultural controversies identified, but equally no evidence of exceptional trust, empowerment, or purpose-driven retention [2]. Average for the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Alliant Energy has no direct competitors in its service territory and does not demonstrate infinite competitive thinking. The company's narrative is focused on execution within its regulated framework rather than learning from rivals' strengths. Competitive language, when present, focuses on attracting data center customers versus other states — a zero-sum geographic competition rather than an infinite-game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Alliant has adapted its generation mix significantly — from coal-heavy to 1,000+ MW wind with a coal elimination target by 2040 — and is now repositioning around AI data center demand with a $1B equity raise [2]. These are meaningful evolutions driven by economics and regulation, but they are incremental industry-wide transitions rather than transformative pivots that abandoned a profitable core business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coal elimination by 2040 required some regulatory courage in Iowa and Wisconsin, and the $1B equity raise for data center infrastructure represents a meaningful bet on the AI demand thesis [1][2]. However, the clean energy transition is economically rational (renewables are now cheaper than coal), and the equity raise follows clear market demand signals rather than representing a contrarian long-term bet against short-term earnings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Alliant Energy delivered Q1 2026 GAAP EPS of $0.87 (up from $0.83 YoY) on revenue of $1.184B (+5% YoY), reaffirming full-year ongoing EPS guidance of $3.36-$3.46 and continuing its decade-plus track record of 6%+ compound earnings growth [1]. The 2026 dividend target of $2.14/share represents a 5.4% increase and extends 21 consecutive years of growth on a base of 80 continuous years of payments since 1946. The AI data center demand thesis is compelling — Alliant's $1B equity raise specifically targets data center infrastructure in its Iowa/Wisconsin territory, positioning the company to benefit from hyperscaler buildout that requires physical grid infrastructure only regulated utilities can provide. TTM revenue of $4.36B, net profit margin improving to 18.6%, and regulated earnings visibility make LNT a defensive dividend compounder with an AI-driven growth kicker.</w:t>
      </w:r>
    </w:p>
    <w:p>
      <w:pPr>
        <w:spacing w:after="120"/>
      </w:pPr>
      <w:r>
        <w:rPr>
          <w:rFonts w:ascii="Calibri" w:hAnsi="Calibri"/>
          <w:b w:val="0"/>
          <w:color w:val="3A4A28"/>
          <w:sz w:val="20"/>
        </w:rPr>
        <w:t>The bear case centers on utility-sector headwinds and valuation. At 22x forward P/E, Alliant trades at a premium to the utility sector average, pricing in data center growth optionality that may face execution risk — regulatory delays, community opposition to new power plants, and transmission constraints could slow data center customer additions [2]. D/E of 132% and the $1B equity raise dilute existing shareholders while the 63% payout ratio leaves less reinvestment flexibility than lower-payout peers. Revenue growth has been modest at 3.5% 5-year CAGR, and the 10% ROE is below cost of equity for many investors. Rising interest rates compress regulated utility valuations, and if 10-year Treasury yields remain elevated, the 2.8% dividend yield faces competition from risk-free alternatives. The MISALIGNED faith alignment score (-49) may limit demand from faith-based investment strategies.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customer announcements in Iowa/Wisconsin service territory converting the $1B equity raise into visible load growth and rate base expansion above baseline projections</w:t>
      </w:r>
    </w:p>
    <w:p>
      <w:pPr>
        <w:spacing w:before="40" w:after="40"/>
        <w:ind w:left="283"/>
      </w:pPr>
      <w:r>
        <w:rPr>
          <w:rFonts w:ascii="Calibri" w:hAnsi="Calibri"/>
          <w:b/>
          <w:color w:val="4A6B25"/>
          <w:sz w:val="20"/>
        </w:rPr>
        <w:t xml:space="preserve">2. </w:t>
      </w:r>
      <w:r>
        <w:rPr>
          <w:rFonts w:ascii="Calibri" w:hAnsi="Calibri"/>
          <w:b w:val="0"/>
          <w:color w:val="3A4A28"/>
          <w:sz w:val="20"/>
        </w:rPr>
        <w:t>2026 ongoing EPS delivery at $3.36-$3.46 midpoint plus 2027 guidance maintaining 6%+ compound growth trajectory, supporting premium valuation multiple</w:t>
      </w:r>
    </w:p>
    <w:p>
      <w:pPr>
        <w:spacing w:before="40" w:after="40"/>
        <w:ind w:left="283"/>
      </w:pPr>
      <w:r>
        <w:rPr>
          <w:rFonts w:ascii="Calibri" w:hAnsi="Calibri"/>
          <w:b/>
          <w:color w:val="4A6B25"/>
          <w:sz w:val="20"/>
        </w:rPr>
        <w:t xml:space="preserve">3. </w:t>
      </w:r>
      <w:r>
        <w:rPr>
          <w:rFonts w:ascii="Calibri" w:hAnsi="Calibri"/>
          <w:b w:val="0"/>
          <w:color w:val="3A4A28"/>
          <w:sz w:val="20"/>
        </w:rPr>
        <w:t>Regulatory approval of renewable and data center-related capital plans in Iowa and Wisconsin, de-risking the multi-year investment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rejection or delay of rate cases and capital plans in Iowa or Wisconsin, particularly related to new generation assets needed for data center load growth</w:t>
      </w:r>
    </w:p>
    <w:p>
      <w:pPr>
        <w:spacing w:before="40" w:after="40"/>
        <w:ind w:left="283"/>
      </w:pPr>
      <w:r>
        <w:rPr>
          <w:rFonts w:ascii="Calibri" w:hAnsi="Calibri"/>
          <w:b/>
          <w:color w:val="4A6B25"/>
          <w:sz w:val="20"/>
        </w:rPr>
        <w:t xml:space="preserve">2. </w:t>
      </w:r>
      <w:r>
        <w:rPr>
          <w:rFonts w:ascii="Calibri" w:hAnsi="Calibri"/>
          <w:b w:val="0"/>
          <w:color w:val="3A4A28"/>
          <w:sz w:val="20"/>
        </w:rPr>
        <w:t>Rising interest rates compressing utility valuations — at 22x forward P/E and 2.8% yield, LNT faces direct competition from risk-free Treasury rates above 4.5%</w:t>
      </w:r>
    </w:p>
    <w:p>
      <w:pPr>
        <w:spacing w:before="40" w:after="40"/>
        <w:ind w:left="283"/>
      </w:pPr>
      <w:r>
        <w:rPr>
          <w:rFonts w:ascii="Calibri" w:hAnsi="Calibri"/>
          <w:b/>
          <w:color w:val="4A6B25"/>
          <w:sz w:val="20"/>
        </w:rPr>
        <w:t xml:space="preserve">3. </w:t>
      </w:r>
      <w:r>
        <w:rPr>
          <w:rFonts w:ascii="Calibri" w:hAnsi="Calibri"/>
          <w:b w:val="0"/>
          <w:color w:val="3A4A28"/>
          <w:sz w:val="20"/>
        </w:rPr>
        <w:t>Data center demand growth disappointment if hyperscalers choose other geographies or AI compute efficiency improvements reduce electricity intensity per unit of compute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Alliant Energy is structurally immune to AI disruption — the business requires physical power generation assets, transmission lines, distribution infrastructure, regulatory relationships, and right-of-way access that AI cannot substitute [2]. More significantly, AI is a demand driver: data centers require massive electricity consumption, and Alliant's $1B equity raise targeting AI data center infrastructure demonstrates that AI growth directly increases Alliant's revenue opportunity. Regulators and energy experts are explicitly flagging increased electricity demand from AI as a growth catalyst for utilities [2]. The regulated monopoly model means no AI-enabled competitor can enter Alliant's service territory. AI Opportunity (1/1): Alliant is generating new revenue from AI infrastructure demand — the $1B equity raise is explicitly earmarked for data center and cloud-related infrastructure projects in Iowa and Wisconsin, creating direct AI-driven revenue growth above baseline load projections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Alliant Energy Q1 2026 Earnings Release — investors.alliantenergy.com, May 2026</w:t>
      </w:r>
    </w:p>
    <w:p>
      <w:pPr>
        <w:spacing w:before="20" w:after="20"/>
        <w:ind w:left="170"/>
      </w:pPr>
      <w:r>
        <w:rPr>
          <w:rFonts w:ascii="Calibri" w:hAnsi="Calibri"/>
          <w:b/>
          <w:color w:val="4A6B25"/>
          <w:sz w:val="15"/>
        </w:rPr>
        <w:t xml:space="preserve">2. </w:t>
      </w:r>
      <w:r>
        <w:rPr>
          <w:rFonts w:ascii="Calibri" w:hAnsi="Calibri"/>
          <w:b w:val="0"/>
          <w:color w:val="3A4A28"/>
          <w:sz w:val="17"/>
        </w:rPr>
        <w:t>Alliant Energy AI Data Center Strategy and $1B Equity Raise — Simply Wall St, Yahoo Finance,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Alliant Energy ESG and Corporate Responsibility Report — alliantenergy.com, Sustainalytics, CSRHub,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 — LNT Key Statistics, Valuation Metrics,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