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LOW</w:t>
      </w:r>
      <w:r>
        <w:rPr>
          <w:rFonts w:ascii="Calibri" w:hAnsi="Calibri"/>
          <w:b/>
          <w:color w:val="1A2010"/>
          <w:sz w:val="40"/>
        </w:rPr>
        <w:t xml:space="preserve">  Lowe's Companies, Inc.</w:t>
      </w:r>
    </w:p>
    <w:p>
      <w:pPr>
        <w:spacing w:after="120"/>
      </w:pPr>
      <w:r>
        <w:rPr>
          <w:rFonts w:ascii="Calibri" w:hAnsi="Calibri"/>
          <w:b/>
          <w:color w:val="6E8450"/>
          <w:sz w:val="18"/>
        </w:rPr>
        <w:t>DIVIDEND SLEEVE · 2026-07-11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Home Improvement Retail · NYSE · United States</w:t>
      </w:r>
    </w:p>
    <w:p>
      <w:pPr>
        <w:spacing w:after="80"/>
      </w:pPr>
      <w:r>
        <w:rPr>
          <w:rFonts w:ascii="Calibri" w:hAnsi="Calibri"/>
          <w:b w:val="0"/>
          <w:color w:val="3A4A28"/>
          <w:sz w:val="20"/>
        </w:rPr>
        <w:t>Lowe's Companies, Inc. operates as a home improvement retailer in the United States and Canada, offering products for construction, maintenance, repair, remodeling, and decorating. The company operates approximately 1,700 stores and recently expanded through acquisitions of Artisan Design Group and Foundation Building Materials.</w:t>
      </w:r>
    </w:p>
    <w:p>
      <w:r>
        <w:rPr>
          <w:rFonts w:ascii="Calibri" w:hAnsi="Calibri"/>
          <w:b/>
          <w:color w:val="6E8450"/>
          <w:sz w:val="18"/>
        </w:rPr>
        <w:t>167,000 Employees · https://corporate.lowes.com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Lowe's 2025 acquisitions of Artisan Design Group (ADG) and Foundation Building Materials (FBM) represent meaningful strategic expansion into Pro services and building materials, contributing to 10% revenue growth in Q1 2026 [1]. However, the core retail model remains fundamentally unchanged. AI Deployment (1/2): Lowe's is deploying AI-powered tools for inventory optimization, customer service chatbots, and personalized recommendations, with 15.5% online sales growth in Q1 2026 partly driven by digital investment [1]. Market Share (2/2): Lowe's is the clear #2 home improvement retailer in the US behind Home Depot, with approximately 1,700 stores and growing Pro segment share through ADG and FBM acquisitions. Product Pipeline (1/2): Expanding Pro business through acquisitions and home services capabilities, with general guidance but no specific next-gen product launches. R&amp;D Intensity (0/1): Retail industry has minimal R&amp;D intensity.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Lowe's mission of helping people love where they live is clear and customer-oriented but not deeply distinctive — it describes what the company does rather than a transformative vision. Community Impact (1/2): Lowe's operates significant community programs including disaster relief, Lowe's Heroes volunteer program, and $100M+ in annual community investment, though these are standard for a Fortune 50 retailer. Employee Retention (1/2): 167,000 employees with stable operations, though retail faces inherent turnover challenges. CEO Marvin Ellison has led since 2018, providing consistent leadership. Insider Buying (1/2): Aggressive share buyback program signals management conviction, though this is capital allocation rather than personal insider buying.</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dividend-stock metrics. Q1 2026 revenue of $23.1B (up 10% YoY), adjusted EPS of $3.03 (up 3.8%), with full-year guidance of $92-94B revenue and $12.25-12.75 adjusted EPS [1]. D/E is negative (shareholders deficit from buybacks) — scored at floor (0.0). ROE is similarly uncalculable due to negative equity. Forward PE of 15.7 is below the 20 target (1.0). Profit margin of 7.51% is below the 20% target but positive (0.38). Revenue growth of 10.3% YoY meets the 10% target (1.0). Dividend yield of 2.36% with payout ratio of 40.57%, consecutive years paid 20+ (1.0, 2x weight), consecutive years growth 5+ (0.5, 1x weight), and estimated dividend growth CAGR around 15%+ (1.0, 2x weight).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Lowe's under CEO Marvin Ellison demonstrates a mix of infinite and finite game thinking. The acquisitions of ADG and FBM represent strategic long-term bets on the Pro segment, while the consistent dividend growth and community investment show commitment beyond quarterly results. However, the aggressive share buyback program (funded by taking on debt to negative equity) and focus on EPS growth metrics suggest finite game optimization.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Lowe's purpose of helping people love where they live is genuine but shallow — it describes the product value proposition rather than an aspirational future state. The mission is interchangeable with competitors and hasn't driven transformative strategic decisions beyond standard retail evolution.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Marvin Ellison has led since 2018, providing stable leadership. The company operates 1,700 stores with 167,000 employees across a well-established retail culture. No major cultural controversies or unusual turnover patterns identified.</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Lowe's consistently acknowledges Home Depot's strengths and uses the competitive dynamic to improve — investing in Pro capabilities, digital transformation, and store productivity to close gaps rather than disparage the rival. The competitive framing is about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2025 acquisitions of ADG and FBM represent meaningful strategic evolution — expanding from pure retail into Pro services and building materials distribution. This is incremental adaptation rather than transformative reinvention, but it shows willingness to evolve the model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ADG and FBM acquisitions required significant capital commitment during uncertain housing market conditions, demonstrating willingness to invest for long-term Pro segment capability rather than simply returning all cash to shareholders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Lowe's delivered solid Q1 2026 results with $23.1B revenue (up 10% YoY), 0.6% comparable sales growth, and 15.5% online sales growth, affirming full-year guidance of $92-94B revenue and $12.25-12.75 adjusted EPS [1]. The ADG and FBM acquisitions are driving Pro segment expansion, diversifying beyond DIY consumer dependence. At 15.7x forward earnings with a 2.36% dividend yield and 20+ years of consecutive dividend payments, Lowe's offers a compelling combination of income and moderate growth for a best-in-class home improvement franchise.</w:t>
      </w:r>
    </w:p>
    <w:p>
      <w:pPr>
        <w:spacing w:after="120"/>
      </w:pPr>
      <w:r>
        <w:rPr>
          <w:rFonts w:ascii="Calibri" w:hAnsi="Calibri"/>
          <w:b w:val="0"/>
          <w:color w:val="3A4A28"/>
          <w:sz w:val="20"/>
        </w:rPr>
        <w:t>The primary concern is the leveraged balance sheet — negative shareholders' equity from aggressive buybacks limits financial flexibility during housing downturns. Comparable sales growth of just 0.6% suggests organic momentum remains modest despite a normalizing housing market. Integration risk from the ADG and FBM acquisitions could pressure margins in the near term. The home improvement market is cyclical and sensitive to housing turnover, mortgage rates, and consumer confidence — a recession would pressure both sales and margins. Competition from Home Depot's larger Pro business and scale advantages persists.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ADG and FBM acquisitions driving Pro segment expansion — total sales up 10% with new capabilities in installed services and building materials distribution</w:t>
      </w:r>
    </w:p>
    <w:p>
      <w:pPr>
        <w:spacing w:before="40" w:after="40"/>
        <w:ind w:left="283"/>
      </w:pPr>
      <w:r>
        <w:rPr>
          <w:rFonts w:ascii="Calibri" w:hAnsi="Calibri"/>
          <w:b/>
          <w:color w:val="4A6B25"/>
          <w:sz w:val="20"/>
        </w:rPr>
        <w:t xml:space="preserve">2. </w:t>
      </w:r>
      <w:r>
        <w:rPr>
          <w:rFonts w:ascii="Calibri" w:hAnsi="Calibri"/>
          <w:b w:val="0"/>
          <w:color w:val="3A4A28"/>
          <w:sz w:val="20"/>
        </w:rPr>
        <w:t>Housing market normalization with potential Fed rate cuts could accelerate home improvement spending and drive comparable sales above 2% guidance</w:t>
      </w:r>
    </w:p>
    <w:p>
      <w:pPr>
        <w:spacing w:before="40" w:after="40"/>
        <w:ind w:left="283"/>
      </w:pPr>
      <w:r>
        <w:rPr>
          <w:rFonts w:ascii="Calibri" w:hAnsi="Calibri"/>
          <w:b/>
          <w:color w:val="4A6B25"/>
          <w:sz w:val="20"/>
        </w:rPr>
        <w:t xml:space="preserve">3. </w:t>
      </w:r>
      <w:r>
        <w:rPr>
          <w:rFonts w:ascii="Calibri" w:hAnsi="Calibri"/>
          <w:b w:val="0"/>
          <w:color w:val="3A4A28"/>
          <w:sz w:val="20"/>
        </w:rPr>
        <w:t>Online sales growth of 15.5% demonstrates successful digital transformation investment and omnichannel capability building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Negative shareholders' equity from buybacks creates balance sheet vulnerability if housing market deteriorates or recession impacts consumer spending</w:t>
      </w:r>
    </w:p>
    <w:p>
      <w:pPr>
        <w:spacing w:before="40" w:after="40"/>
        <w:ind w:left="283"/>
      </w:pPr>
      <w:r>
        <w:rPr>
          <w:rFonts w:ascii="Calibri" w:hAnsi="Calibri"/>
          <w:b/>
          <w:color w:val="4A6B25"/>
          <w:sz w:val="20"/>
        </w:rPr>
        <w:t xml:space="preserve">2. </w:t>
      </w:r>
      <w:r>
        <w:rPr>
          <w:rFonts w:ascii="Calibri" w:hAnsi="Calibri"/>
          <w:b w:val="0"/>
          <w:color w:val="3A4A28"/>
          <w:sz w:val="20"/>
        </w:rPr>
        <w:t>Organic comparable sales growth of only 0.6% suggests limited pricing power and volume growth in the core retail business</w:t>
      </w:r>
    </w:p>
    <w:p>
      <w:pPr>
        <w:spacing w:before="40" w:after="40"/>
        <w:ind w:left="283"/>
      </w:pPr>
      <w:r>
        <w:rPr>
          <w:rFonts w:ascii="Calibri" w:hAnsi="Calibri"/>
          <w:b/>
          <w:color w:val="4A6B25"/>
          <w:sz w:val="20"/>
        </w:rPr>
        <w:t xml:space="preserve">3. </w:t>
      </w:r>
      <w:r>
        <w:rPr>
          <w:rFonts w:ascii="Calibri" w:hAnsi="Calibri"/>
          <w:b w:val="0"/>
          <w:color w:val="3A4A28"/>
          <w:sz w:val="20"/>
        </w:rPr>
        <w:t>Integration of two major acquisitions (ADG and FBM) simultaneously carries execution risk and could pressure margins during the absorption period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Lowe's core business is structurally protected from AI disruption — home improvement retail requires physical stores, product inventory, installation services, and in-person customer interaction that AI cannot substitute [1]. The housing market, home repair needs, and DIY/Pro construction are physical-world activities immune to AI displacement. AI may even benefit Lowe's through improved supply chain efficiency, personalized marketing, and enhanced online shopping experiences. AI Opportunity (0/1): While Lowe's uses AI operationally (inventory management, customer service), it does not generate meaningful AI-specific revenue.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Lowe's Q1 2026 Earnings Release — PRNewswire, May 20, 2026</w:t>
      </w:r>
    </w:p>
    <w:p>
      <w:pPr>
        <w:spacing w:before="20" w:after="20"/>
        <w:ind w:left="170"/>
      </w:pPr>
      <w:r>
        <w:rPr>
          <w:rFonts w:ascii="Calibri" w:hAnsi="Calibri"/>
          <w:b/>
          <w:color w:val="4A6B25"/>
          <w:sz w:val="15"/>
        </w:rPr>
        <w:t xml:space="preserve">2. </w:t>
      </w:r>
      <w:r>
        <w:rPr>
          <w:rFonts w:ascii="Calibri" w:hAnsi="Calibri"/>
          <w:b w:val="0"/>
          <w:color w:val="3A4A28"/>
          <w:sz w:val="17"/>
        </w:rPr>
        <w:t>Lowe's Q1 2026 10-Q Filing — SEC, May 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LOW Key Statistics,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